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DB" w:rsidRPr="00A1466C" w:rsidRDefault="007024DB" w:rsidP="00A1466C">
      <w:pPr>
        <w:autoSpaceDE w:val="0"/>
        <w:autoSpaceDN w:val="0"/>
        <w:adjustRightInd w:val="0"/>
        <w:jc w:val="center"/>
        <w:rPr>
          <w:rFonts w:ascii="標楷體" w:eastAsia="標楷體" w:hAnsi="標楷體" w:cs="DFKaiShu-SB-Estd-BF"/>
          <w:kern w:val="0"/>
          <w:sz w:val="32"/>
          <w:szCs w:val="32"/>
        </w:rPr>
      </w:pPr>
      <w:r w:rsidRPr="00A1466C">
        <w:rPr>
          <w:rFonts w:ascii="標楷體" w:eastAsia="標楷體" w:hAnsi="標楷體" w:cs="DFKaiShu-SB-Estd-BF" w:hint="eastAsia"/>
          <w:kern w:val="0"/>
          <w:sz w:val="32"/>
          <w:szCs w:val="32"/>
        </w:rPr>
        <w:t>國立高雄大學建築學系教師升等審查要點</w:t>
      </w:r>
    </w:p>
    <w:p w:rsidR="00A1466C" w:rsidRPr="00547C63" w:rsidRDefault="007024DB" w:rsidP="00A1466C">
      <w:pPr>
        <w:rPr>
          <w:rFonts w:ascii="標楷體" w:eastAsia="標楷體" w:hAnsi="標楷體"/>
          <w:sz w:val="20"/>
          <w:szCs w:val="20"/>
        </w:rPr>
      </w:pPr>
      <w:r w:rsidRPr="00A1466C">
        <w:rPr>
          <w:rFonts w:ascii="標楷體" w:eastAsia="標楷體" w:hAnsi="標楷體" w:cs="Times New Roman"/>
          <w:kern w:val="0"/>
          <w:sz w:val="20"/>
          <w:szCs w:val="20"/>
        </w:rPr>
        <w:t xml:space="preserve">107 </w:t>
      </w:r>
      <w:r w:rsidRPr="00A1466C">
        <w:rPr>
          <w:rFonts w:ascii="標楷體" w:eastAsia="標楷體" w:hAnsi="標楷體" w:cs="DFKaiShu-SB-Estd-BF" w:hint="eastAsia"/>
          <w:kern w:val="0"/>
          <w:sz w:val="20"/>
          <w:szCs w:val="20"/>
        </w:rPr>
        <w:t>年</w:t>
      </w:r>
      <w:r w:rsidRPr="00A1466C">
        <w:rPr>
          <w:rFonts w:ascii="標楷體" w:eastAsia="標楷體" w:hAnsi="標楷體" w:cs="Times New Roman"/>
          <w:kern w:val="0"/>
          <w:sz w:val="20"/>
          <w:szCs w:val="20"/>
        </w:rPr>
        <w:t xml:space="preserve">4 </w:t>
      </w:r>
      <w:r w:rsidRPr="00A1466C">
        <w:rPr>
          <w:rFonts w:ascii="標楷體" w:eastAsia="標楷體" w:hAnsi="標楷體" w:cs="DFKaiShu-SB-Estd-BF" w:hint="eastAsia"/>
          <w:kern w:val="0"/>
          <w:sz w:val="20"/>
          <w:szCs w:val="20"/>
        </w:rPr>
        <w:t>月</w:t>
      </w:r>
      <w:r w:rsidRPr="00A1466C">
        <w:rPr>
          <w:rFonts w:ascii="標楷體" w:eastAsia="標楷體" w:hAnsi="標楷體" w:cs="Times New Roman"/>
          <w:kern w:val="0"/>
          <w:sz w:val="20"/>
          <w:szCs w:val="20"/>
        </w:rPr>
        <w:t xml:space="preserve">9 </w:t>
      </w:r>
      <w:r w:rsidRPr="00A1466C">
        <w:rPr>
          <w:rFonts w:ascii="標楷體" w:eastAsia="標楷體" w:hAnsi="標楷體" w:cs="DFKaiShu-SB-Estd-BF" w:hint="eastAsia"/>
          <w:kern w:val="0"/>
          <w:sz w:val="20"/>
          <w:szCs w:val="20"/>
        </w:rPr>
        <w:t>日</w:t>
      </w:r>
      <w:r w:rsidRPr="00A1466C">
        <w:rPr>
          <w:rFonts w:ascii="標楷體" w:eastAsia="標楷體" w:hAnsi="標楷體" w:cs="Times New Roman"/>
          <w:kern w:val="0"/>
          <w:sz w:val="20"/>
          <w:szCs w:val="20"/>
        </w:rPr>
        <w:t xml:space="preserve">106 </w:t>
      </w:r>
      <w:r w:rsidRPr="00A1466C">
        <w:rPr>
          <w:rFonts w:ascii="標楷體" w:eastAsia="標楷體" w:hAnsi="標楷體" w:cs="DFKaiShu-SB-Estd-BF" w:hint="eastAsia"/>
          <w:kern w:val="0"/>
          <w:sz w:val="20"/>
          <w:szCs w:val="20"/>
        </w:rPr>
        <w:t>學年度第</w:t>
      </w:r>
      <w:r w:rsidRPr="00A1466C">
        <w:rPr>
          <w:rFonts w:ascii="標楷體" w:eastAsia="標楷體" w:hAnsi="標楷體" w:cs="Times New Roman"/>
          <w:kern w:val="0"/>
          <w:sz w:val="20"/>
          <w:szCs w:val="20"/>
        </w:rPr>
        <w:t xml:space="preserve">2 </w:t>
      </w:r>
      <w:r w:rsidRPr="00A1466C">
        <w:rPr>
          <w:rFonts w:ascii="標楷體" w:eastAsia="標楷體" w:hAnsi="標楷體" w:cs="DFKaiShu-SB-Estd-BF" w:hint="eastAsia"/>
          <w:kern w:val="0"/>
          <w:sz w:val="20"/>
          <w:szCs w:val="20"/>
        </w:rPr>
        <w:t>學期</w:t>
      </w:r>
      <w:r w:rsidRPr="00A1466C">
        <w:rPr>
          <w:rFonts w:ascii="標楷體" w:eastAsia="標楷體" w:hAnsi="標楷體" w:cs="DFKaiShu-SB-Estd-BF"/>
          <w:kern w:val="0"/>
          <w:sz w:val="20"/>
          <w:szCs w:val="20"/>
        </w:rPr>
        <w:t xml:space="preserve"> </w:t>
      </w:r>
      <w:r w:rsidRPr="00A1466C">
        <w:rPr>
          <w:rFonts w:ascii="標楷體" w:eastAsia="標楷體" w:hAnsi="標楷體" w:cs="DFKaiShu-SB-Estd-BF" w:hint="eastAsia"/>
          <w:kern w:val="0"/>
          <w:sz w:val="20"/>
          <w:szCs w:val="20"/>
        </w:rPr>
        <w:t>第</w:t>
      </w:r>
      <w:r w:rsidRPr="00A1466C">
        <w:rPr>
          <w:rFonts w:ascii="標楷體" w:eastAsia="標楷體" w:hAnsi="標楷體" w:cs="Times New Roman"/>
          <w:kern w:val="0"/>
          <w:sz w:val="20"/>
          <w:szCs w:val="20"/>
        </w:rPr>
        <w:t xml:space="preserve">5 </w:t>
      </w:r>
      <w:r w:rsidRPr="00A1466C">
        <w:rPr>
          <w:rFonts w:ascii="標楷體" w:eastAsia="標楷體" w:hAnsi="標楷體" w:cs="DFKaiShu-SB-Estd-BF" w:hint="eastAsia"/>
          <w:kern w:val="0"/>
          <w:sz w:val="20"/>
          <w:szCs w:val="20"/>
        </w:rPr>
        <w:t>次籌備處會議通過，</w:t>
      </w:r>
      <w:r w:rsidRPr="00A1466C">
        <w:rPr>
          <w:rFonts w:ascii="標楷體" w:eastAsia="標楷體" w:hAnsi="標楷體" w:cs="Times New Roman"/>
          <w:kern w:val="0"/>
          <w:sz w:val="20"/>
          <w:szCs w:val="20"/>
        </w:rPr>
        <w:t xml:space="preserve">107 </w:t>
      </w:r>
      <w:r w:rsidRPr="00A1466C">
        <w:rPr>
          <w:rFonts w:ascii="標楷體" w:eastAsia="標楷體" w:hAnsi="標楷體" w:cs="DFKaiShu-SB-Estd-BF" w:hint="eastAsia"/>
          <w:kern w:val="0"/>
          <w:sz w:val="20"/>
          <w:szCs w:val="20"/>
        </w:rPr>
        <w:t>年</w:t>
      </w:r>
      <w:r w:rsidRPr="00A1466C">
        <w:rPr>
          <w:rFonts w:ascii="標楷體" w:eastAsia="標楷體" w:hAnsi="標楷體" w:cs="Times New Roman"/>
          <w:kern w:val="0"/>
          <w:sz w:val="20"/>
          <w:szCs w:val="20"/>
        </w:rPr>
        <w:t xml:space="preserve">5 </w:t>
      </w:r>
      <w:r w:rsidRPr="00A1466C">
        <w:rPr>
          <w:rFonts w:ascii="標楷體" w:eastAsia="標楷體" w:hAnsi="標楷體" w:cs="DFKaiShu-SB-Estd-BF" w:hint="eastAsia"/>
          <w:kern w:val="0"/>
          <w:sz w:val="20"/>
          <w:szCs w:val="20"/>
        </w:rPr>
        <w:t>月</w:t>
      </w:r>
      <w:r w:rsidRPr="00A1466C">
        <w:rPr>
          <w:rFonts w:ascii="標楷體" w:eastAsia="標楷體" w:hAnsi="標楷體" w:cs="Times New Roman"/>
          <w:kern w:val="0"/>
          <w:sz w:val="20"/>
          <w:szCs w:val="20"/>
        </w:rPr>
        <w:t xml:space="preserve">9 </w:t>
      </w:r>
      <w:r w:rsidRPr="00A1466C">
        <w:rPr>
          <w:rFonts w:ascii="標楷體" w:eastAsia="標楷體" w:hAnsi="標楷體" w:cs="DFKaiShu-SB-Estd-BF" w:hint="eastAsia"/>
          <w:kern w:val="0"/>
          <w:sz w:val="20"/>
          <w:szCs w:val="20"/>
        </w:rPr>
        <w:t>日人文社會科學院</w:t>
      </w:r>
      <w:r w:rsidRPr="00A1466C">
        <w:rPr>
          <w:rFonts w:ascii="標楷體" w:eastAsia="標楷體" w:hAnsi="標楷體" w:cs="Times New Roman"/>
          <w:kern w:val="0"/>
          <w:sz w:val="20"/>
          <w:szCs w:val="20"/>
        </w:rPr>
        <w:t xml:space="preserve">106 </w:t>
      </w:r>
      <w:r w:rsidRPr="00A1466C">
        <w:rPr>
          <w:rFonts w:ascii="標楷體" w:eastAsia="標楷體" w:hAnsi="標楷體" w:cs="DFKaiShu-SB-Estd-BF" w:hint="eastAsia"/>
          <w:kern w:val="0"/>
          <w:sz w:val="20"/>
          <w:szCs w:val="20"/>
        </w:rPr>
        <w:t>學年度第</w:t>
      </w:r>
      <w:r w:rsidRPr="00A1466C">
        <w:rPr>
          <w:rFonts w:ascii="標楷體" w:eastAsia="標楷體" w:hAnsi="標楷體" w:cs="Times New Roman"/>
          <w:kern w:val="0"/>
          <w:sz w:val="20"/>
          <w:szCs w:val="20"/>
        </w:rPr>
        <w:t xml:space="preserve">5 </w:t>
      </w:r>
      <w:proofErr w:type="gramStart"/>
      <w:r w:rsidRPr="00A1466C">
        <w:rPr>
          <w:rFonts w:ascii="標楷體" w:eastAsia="標楷體" w:hAnsi="標楷體" w:cs="DFKaiShu-SB-Estd-BF" w:hint="eastAsia"/>
          <w:kern w:val="0"/>
          <w:sz w:val="20"/>
          <w:szCs w:val="20"/>
        </w:rPr>
        <w:t>次院教</w:t>
      </w:r>
      <w:proofErr w:type="gramEnd"/>
      <w:r w:rsidRPr="00A1466C">
        <w:rPr>
          <w:rFonts w:ascii="標楷體" w:eastAsia="標楷體" w:hAnsi="標楷體" w:cs="DFKaiShu-SB-Estd-BF" w:hint="eastAsia"/>
          <w:kern w:val="0"/>
          <w:sz w:val="20"/>
          <w:szCs w:val="20"/>
        </w:rPr>
        <w:t>評會通過</w:t>
      </w:r>
      <w:r w:rsidR="00A1466C">
        <w:rPr>
          <w:rFonts w:ascii="標楷體" w:eastAsia="標楷體" w:hAnsi="標楷體" w:cs="DFKaiShu-SB-Estd-BF" w:hint="eastAsia"/>
          <w:kern w:val="0"/>
          <w:sz w:val="20"/>
          <w:szCs w:val="20"/>
        </w:rPr>
        <w:t>，</w:t>
      </w:r>
      <w:r w:rsidR="00A1466C" w:rsidRPr="00547C63">
        <w:rPr>
          <w:rFonts w:ascii="標楷體" w:eastAsia="標楷體" w:hAnsi="標楷體" w:hint="eastAsia"/>
          <w:sz w:val="20"/>
          <w:szCs w:val="20"/>
        </w:rPr>
        <w:t>107年5月23日本校第115次校教評會通過</w:t>
      </w:r>
    </w:p>
    <w:p w:rsidR="00C47ECE" w:rsidRPr="00A1466C" w:rsidRDefault="00C47ECE" w:rsidP="007024DB">
      <w:pPr>
        <w:rPr>
          <w:rFonts w:ascii="標楷體" w:eastAsia="標楷體" w:hAnsi="標楷體" w:cs="DFKaiShu-SB-Estd-BF"/>
          <w:kern w:val="0"/>
          <w:sz w:val="20"/>
          <w:szCs w:val="20"/>
        </w:rPr>
      </w:pPr>
    </w:p>
    <w:p w:rsidR="007024DB" w:rsidRPr="00A1466C" w:rsidRDefault="007024DB" w:rsidP="007024DB">
      <w:pPr>
        <w:pStyle w:val="a3"/>
        <w:numPr>
          <w:ilvl w:val="0"/>
          <w:numId w:val="1"/>
        </w:numPr>
        <w:autoSpaceDE w:val="0"/>
        <w:autoSpaceDN w:val="0"/>
        <w:adjustRightInd w:val="0"/>
        <w:ind w:leftChars="0"/>
        <w:rPr>
          <w:rFonts w:ascii="標楷體" w:eastAsia="標楷體" w:hAnsi="標楷體" w:cs="DFKaiShu-SB-Estd-BF"/>
          <w:kern w:val="0"/>
          <w:szCs w:val="24"/>
        </w:rPr>
      </w:pPr>
      <w:r w:rsidRPr="00A1466C">
        <w:rPr>
          <w:rFonts w:ascii="標楷體" w:eastAsia="標楷體" w:hAnsi="標楷體" w:cs="DFKaiShu-SB-Estd-BF" w:hint="eastAsia"/>
          <w:kern w:val="0"/>
          <w:szCs w:val="24"/>
        </w:rPr>
        <w:t>本要點依據國立高雄大學</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以下簡稱本校</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組織規程第三十九條、本校教師評審委員會設置辦法第二條、本校升等辦法第三條及人文社會科學院教師升等審查要點訂定</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以下簡稱本要點</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w:t>
      </w:r>
    </w:p>
    <w:p w:rsidR="007024DB" w:rsidRPr="00A1466C" w:rsidRDefault="007024DB" w:rsidP="007024DB">
      <w:pPr>
        <w:pStyle w:val="a3"/>
        <w:numPr>
          <w:ilvl w:val="0"/>
          <w:numId w:val="1"/>
        </w:numPr>
        <w:autoSpaceDE w:val="0"/>
        <w:autoSpaceDN w:val="0"/>
        <w:adjustRightInd w:val="0"/>
        <w:ind w:leftChars="0"/>
        <w:rPr>
          <w:rFonts w:ascii="標楷體" w:eastAsia="標楷體" w:hAnsi="標楷體"/>
        </w:rPr>
      </w:pPr>
      <w:r w:rsidRPr="00A1466C">
        <w:rPr>
          <w:rFonts w:ascii="標楷體" w:eastAsia="標楷體" w:hAnsi="標楷體" w:hint="eastAsia"/>
        </w:rPr>
        <w:t>二、國立高雄大學建築學系(以下簡稱本系)教師之升等，悉依本校教師升等辦法及人文社會科學院教師升等審查要點辦理，本要點僅規範本系審查部份。</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三、本系各級教師之升等應具下列資格之</w:t>
      </w:r>
      <w:proofErr w:type="gramStart"/>
      <w:r w:rsidRPr="00A1466C">
        <w:rPr>
          <w:rFonts w:ascii="標楷體" w:eastAsia="標楷體" w:hAnsi="標楷體" w:cs="DFKaiShu-SB-Estd-BF" w:hint="eastAsia"/>
          <w:kern w:val="0"/>
          <w:szCs w:val="24"/>
        </w:rPr>
        <w:t>一</w:t>
      </w:r>
      <w:proofErr w:type="gramEnd"/>
      <w:r w:rsidRPr="00A1466C">
        <w:rPr>
          <w:rFonts w:ascii="標楷體" w:eastAsia="標楷體" w:hAnsi="標楷體" w:cs="DFKaiShu-SB-Estd-BF" w:hint="eastAsia"/>
          <w:kern w:val="0"/>
          <w:szCs w:val="24"/>
        </w:rPr>
        <w:t>：</w:t>
      </w:r>
    </w:p>
    <w:p w:rsidR="007024DB" w:rsidRPr="00A1466C" w:rsidRDefault="007024DB" w:rsidP="00A1466C">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（一）講師：須於取得學士學位後，曾任助教擔任協助教學或研究工作四年以上，成績優良，並有專門著作。</w:t>
      </w:r>
    </w:p>
    <w:p w:rsidR="007024DB" w:rsidRPr="00A1466C" w:rsidRDefault="007024DB" w:rsidP="00A1466C">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DFKaiShu-SB-Estd-BF" w:hint="eastAsia"/>
          <w:kern w:val="0"/>
          <w:szCs w:val="24"/>
        </w:rPr>
        <w:t>（二）助理教授：須擔任講師三年以上，成績優良，並有專門著作。</w:t>
      </w:r>
    </w:p>
    <w:p w:rsidR="007024DB" w:rsidRPr="00A1466C" w:rsidRDefault="007024DB" w:rsidP="00A1466C">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DFKaiShu-SB-Estd-BF" w:hint="eastAsia"/>
          <w:kern w:val="0"/>
          <w:szCs w:val="24"/>
        </w:rPr>
        <w:t>（三）副教授：</w:t>
      </w:r>
      <w:r w:rsidRPr="00A1466C">
        <w:rPr>
          <w:rFonts w:ascii="標楷體" w:eastAsia="標楷體" w:hAnsi="標楷體" w:cs="DFKaiShu-SB-Estd-BF"/>
          <w:kern w:val="0"/>
          <w:szCs w:val="24"/>
        </w:rPr>
        <w:t xml:space="preserve"> </w:t>
      </w:r>
      <w:r w:rsidRPr="00A1466C">
        <w:rPr>
          <w:rFonts w:ascii="標楷體" w:eastAsia="標楷體" w:hAnsi="標楷體" w:cs="DFKaiShu-SB-Estd-BF" w:hint="eastAsia"/>
          <w:kern w:val="0"/>
          <w:szCs w:val="24"/>
        </w:rPr>
        <w:t>須擔任助理教授三年以上，成績優良，並有專門著作。</w:t>
      </w:r>
    </w:p>
    <w:p w:rsidR="007024DB" w:rsidRPr="00A1466C" w:rsidRDefault="007024DB" w:rsidP="00A1466C">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DFKaiShu-SB-Estd-BF" w:hint="eastAsia"/>
          <w:kern w:val="0"/>
          <w:szCs w:val="24"/>
        </w:rPr>
        <w:t>（四）教授：</w:t>
      </w:r>
      <w:r w:rsidRPr="00A1466C">
        <w:rPr>
          <w:rFonts w:ascii="標楷體" w:eastAsia="標楷體" w:hAnsi="標楷體" w:cs="DFKaiShu-SB-Estd-BF"/>
          <w:kern w:val="0"/>
          <w:szCs w:val="24"/>
        </w:rPr>
        <w:t xml:space="preserve"> </w:t>
      </w:r>
      <w:r w:rsidRPr="00A1466C">
        <w:rPr>
          <w:rFonts w:ascii="標楷體" w:eastAsia="標楷體" w:hAnsi="標楷體" w:cs="DFKaiShu-SB-Estd-BF" w:hint="eastAsia"/>
          <w:kern w:val="0"/>
          <w:szCs w:val="24"/>
        </w:rPr>
        <w:t>須擔任副教授三年以上，成績優良，並有重要專門著作。</w:t>
      </w:r>
    </w:p>
    <w:p w:rsidR="007024DB" w:rsidRPr="00A1466C" w:rsidRDefault="007024DB" w:rsidP="00A1466C">
      <w:pPr>
        <w:autoSpaceDE w:val="0"/>
        <w:autoSpaceDN w:val="0"/>
        <w:adjustRightInd w:val="0"/>
        <w:ind w:leftChars="200" w:left="480"/>
        <w:rPr>
          <w:rFonts w:ascii="標楷體" w:eastAsia="標楷體" w:hAnsi="標楷體" w:cs="DFKaiShu-SB-Estd-BF"/>
          <w:kern w:val="0"/>
          <w:szCs w:val="24"/>
        </w:rPr>
      </w:pPr>
      <w:r w:rsidRPr="00A1466C">
        <w:rPr>
          <w:rFonts w:ascii="標楷體" w:eastAsia="標楷體" w:hAnsi="標楷體" w:cs="DFKaiShu-SB-Estd-BF" w:hint="eastAsia"/>
          <w:kern w:val="0"/>
          <w:szCs w:val="24"/>
        </w:rPr>
        <w:t>教育人員任用條例八十六年三月十九日修正公佈施行前已取得講師、助教證書之人員，如繼續任教而未中斷，得</w:t>
      </w:r>
      <w:proofErr w:type="gramStart"/>
      <w:r w:rsidRPr="00A1466C">
        <w:rPr>
          <w:rFonts w:ascii="標楷體" w:eastAsia="標楷體" w:hAnsi="標楷體" w:cs="DFKaiShu-SB-Estd-BF" w:hint="eastAsia"/>
          <w:kern w:val="0"/>
          <w:szCs w:val="24"/>
        </w:rPr>
        <w:t>逕依原升等</w:t>
      </w:r>
      <w:proofErr w:type="gramEnd"/>
      <w:r w:rsidRPr="00A1466C">
        <w:rPr>
          <w:rFonts w:ascii="標楷體" w:eastAsia="標楷體" w:hAnsi="標楷體" w:cs="DFKaiShu-SB-Estd-BF" w:hint="eastAsia"/>
          <w:kern w:val="0"/>
          <w:szCs w:val="24"/>
        </w:rPr>
        <w:t>辦法送審，不受大學法第二十九條之限制。</w:t>
      </w:r>
    </w:p>
    <w:p w:rsidR="007024DB" w:rsidRPr="00A1466C" w:rsidRDefault="007024DB" w:rsidP="007024DB">
      <w:pPr>
        <w:pStyle w:val="a3"/>
        <w:autoSpaceDE w:val="0"/>
        <w:autoSpaceDN w:val="0"/>
        <w:adjustRightInd w:val="0"/>
        <w:ind w:leftChars="0"/>
        <w:rPr>
          <w:rFonts w:ascii="標楷體" w:eastAsia="標楷體" w:hAnsi="標楷體"/>
        </w:rPr>
      </w:pPr>
      <w:r w:rsidRPr="00A1466C">
        <w:rPr>
          <w:rFonts w:ascii="標楷體" w:eastAsia="標楷體" w:hAnsi="標楷體" w:cs="DFKaiShu-SB-Estd-BF" w:hint="eastAsia"/>
          <w:kern w:val="0"/>
          <w:szCs w:val="24"/>
        </w:rPr>
        <w:t>專業技術人員之升等辦法另訂之。</w:t>
      </w:r>
    </w:p>
    <w:p w:rsidR="007024DB" w:rsidRPr="00A1466C" w:rsidRDefault="007024DB" w:rsidP="00A1466C">
      <w:pPr>
        <w:autoSpaceDE w:val="0"/>
        <w:autoSpaceDN w:val="0"/>
        <w:adjustRightInd w:val="0"/>
        <w:ind w:left="480" w:hangingChars="200" w:hanging="480"/>
        <w:rPr>
          <w:rFonts w:ascii="標楷體" w:eastAsia="標楷體" w:hAnsi="標楷體" w:cs="DFKaiShu-SB-Estd-BF"/>
          <w:kern w:val="0"/>
          <w:szCs w:val="24"/>
        </w:rPr>
      </w:pPr>
      <w:r w:rsidRPr="00A1466C">
        <w:rPr>
          <w:rFonts w:ascii="標楷體" w:eastAsia="標楷體" w:hAnsi="標楷體" w:cs="DFKaiShu-SB-Estd-BF" w:hint="eastAsia"/>
          <w:kern w:val="0"/>
          <w:szCs w:val="24"/>
        </w:rPr>
        <w:t>四、申請升等之教師應於下列時間將資料送交本系教師評審委員會（以下簡稱本會）召集人，逾期不受理：每年一月一日前</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擬於當年二月一日升等者</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及七月一日前</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擬於當年八月一日升等者</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，送至本系審查。</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五、本系教師申請升等，除應具有本要點第三點所列資格外，並應符合下列條款：</w:t>
      </w:r>
    </w:p>
    <w:p w:rsidR="007024DB" w:rsidRPr="00A1466C" w:rsidRDefault="007024DB" w:rsidP="00A1466C">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（一）本要點第三點所定教師年資，以教育部所頒現職教師證書所</w:t>
      </w:r>
      <w:proofErr w:type="gramStart"/>
      <w:r w:rsidRPr="00A1466C">
        <w:rPr>
          <w:rFonts w:ascii="標楷體" w:eastAsia="標楷體" w:hAnsi="標楷體" w:cs="DFKaiShu-SB-Estd-BF" w:hint="eastAsia"/>
          <w:kern w:val="0"/>
          <w:szCs w:val="24"/>
        </w:rPr>
        <w:t>載起計</w:t>
      </w:r>
      <w:proofErr w:type="gramEnd"/>
      <w:r w:rsidRPr="00A1466C">
        <w:rPr>
          <w:rFonts w:ascii="標楷體" w:eastAsia="標楷體" w:hAnsi="標楷體" w:cs="DFKaiShu-SB-Estd-BF" w:hint="eastAsia"/>
          <w:kern w:val="0"/>
          <w:szCs w:val="24"/>
        </w:rPr>
        <w:t>年月推算至升等生效日前一日止</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當年</w:t>
      </w:r>
      <w:r w:rsidRPr="00A1466C">
        <w:rPr>
          <w:rFonts w:ascii="標楷體" w:eastAsia="標楷體" w:hAnsi="標楷體" w:cs="Times New Roman"/>
          <w:kern w:val="0"/>
          <w:szCs w:val="24"/>
        </w:rPr>
        <w:t>2</w:t>
      </w:r>
      <w:r w:rsidRPr="00A1466C">
        <w:rPr>
          <w:rFonts w:ascii="標楷體" w:eastAsia="標楷體" w:hAnsi="標楷體" w:cs="DFKaiShu-SB-Estd-BF" w:hint="eastAsia"/>
          <w:kern w:val="0"/>
          <w:szCs w:val="24"/>
        </w:rPr>
        <w:t>月</w:t>
      </w:r>
      <w:r w:rsidRPr="00A1466C">
        <w:rPr>
          <w:rFonts w:ascii="標楷體" w:eastAsia="標楷體" w:hAnsi="標楷體" w:cs="Times New Roman"/>
          <w:kern w:val="0"/>
          <w:szCs w:val="24"/>
        </w:rPr>
        <w:t>1</w:t>
      </w:r>
      <w:r w:rsidRPr="00A1466C">
        <w:rPr>
          <w:rFonts w:ascii="標楷體" w:eastAsia="標楷體" w:hAnsi="標楷體" w:cs="DFKaiShu-SB-Estd-BF" w:hint="eastAsia"/>
          <w:kern w:val="0"/>
          <w:szCs w:val="24"/>
        </w:rPr>
        <w:t>日升等生效者，推算至同年</w:t>
      </w:r>
      <w:r w:rsidRPr="00A1466C">
        <w:rPr>
          <w:rFonts w:ascii="標楷體" w:eastAsia="標楷體" w:hAnsi="標楷體" w:cs="Times New Roman"/>
          <w:kern w:val="0"/>
          <w:szCs w:val="24"/>
        </w:rPr>
        <w:t>1</w:t>
      </w:r>
      <w:r w:rsidRPr="00A1466C">
        <w:rPr>
          <w:rFonts w:ascii="標楷體" w:eastAsia="標楷體" w:hAnsi="標楷體" w:cs="DFKaiShu-SB-Estd-BF" w:hint="eastAsia"/>
          <w:kern w:val="0"/>
          <w:szCs w:val="24"/>
        </w:rPr>
        <w:t>月</w:t>
      </w:r>
      <w:r w:rsidRPr="00A1466C">
        <w:rPr>
          <w:rFonts w:ascii="標楷體" w:eastAsia="標楷體" w:hAnsi="標楷體" w:cs="Times New Roman"/>
          <w:kern w:val="0"/>
          <w:szCs w:val="24"/>
        </w:rPr>
        <w:t>31</w:t>
      </w:r>
      <w:r w:rsidRPr="00A1466C">
        <w:rPr>
          <w:rFonts w:ascii="標楷體" w:eastAsia="標楷體" w:hAnsi="標楷體" w:cs="DFKaiShu-SB-Estd-BF" w:hint="eastAsia"/>
          <w:kern w:val="0"/>
          <w:szCs w:val="24"/>
        </w:rPr>
        <w:t>日；當年</w:t>
      </w:r>
      <w:r w:rsidRPr="00A1466C">
        <w:rPr>
          <w:rFonts w:ascii="標楷體" w:eastAsia="標楷體" w:hAnsi="標楷體" w:cs="Times New Roman"/>
          <w:kern w:val="0"/>
          <w:szCs w:val="24"/>
        </w:rPr>
        <w:t>8</w:t>
      </w:r>
      <w:r w:rsidRPr="00A1466C">
        <w:rPr>
          <w:rFonts w:ascii="標楷體" w:eastAsia="標楷體" w:hAnsi="標楷體" w:cs="DFKaiShu-SB-Estd-BF" w:hint="eastAsia"/>
          <w:kern w:val="0"/>
          <w:szCs w:val="24"/>
        </w:rPr>
        <w:t>月</w:t>
      </w:r>
      <w:r w:rsidRPr="00A1466C">
        <w:rPr>
          <w:rFonts w:ascii="標楷體" w:eastAsia="標楷體" w:hAnsi="標楷體" w:cs="Times New Roman"/>
          <w:kern w:val="0"/>
          <w:szCs w:val="24"/>
        </w:rPr>
        <w:t>1</w:t>
      </w:r>
      <w:r w:rsidRPr="00A1466C">
        <w:rPr>
          <w:rFonts w:ascii="標楷體" w:eastAsia="標楷體" w:hAnsi="標楷體" w:cs="DFKaiShu-SB-Estd-BF" w:hint="eastAsia"/>
          <w:kern w:val="0"/>
          <w:szCs w:val="24"/>
        </w:rPr>
        <w:t>日升等生效者，推算至同年</w:t>
      </w:r>
      <w:r w:rsidRPr="00A1466C">
        <w:rPr>
          <w:rFonts w:ascii="標楷體" w:eastAsia="標楷體" w:hAnsi="標楷體" w:cs="Times New Roman"/>
          <w:kern w:val="0"/>
          <w:szCs w:val="24"/>
        </w:rPr>
        <w:t>7</w:t>
      </w:r>
      <w:r w:rsidRPr="00A1466C">
        <w:rPr>
          <w:rFonts w:ascii="標楷體" w:eastAsia="標楷體" w:hAnsi="標楷體" w:cs="DFKaiShu-SB-Estd-BF" w:hint="eastAsia"/>
          <w:kern w:val="0"/>
          <w:szCs w:val="24"/>
        </w:rPr>
        <w:t>月</w:t>
      </w:r>
      <w:r w:rsidRPr="00A1466C">
        <w:rPr>
          <w:rFonts w:ascii="標楷體" w:eastAsia="標楷體" w:hAnsi="標楷體" w:cs="Times New Roman"/>
          <w:kern w:val="0"/>
          <w:szCs w:val="24"/>
        </w:rPr>
        <w:t>31</w:t>
      </w:r>
      <w:r w:rsidRPr="00A1466C">
        <w:rPr>
          <w:rFonts w:ascii="標楷體" w:eastAsia="標楷體" w:hAnsi="標楷體" w:cs="DFKaiShu-SB-Estd-BF" w:hint="eastAsia"/>
          <w:kern w:val="0"/>
          <w:szCs w:val="24"/>
        </w:rPr>
        <w:t>日</w:t>
      </w: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w:t>
      </w:r>
    </w:p>
    <w:p w:rsidR="007024DB" w:rsidRPr="00A1466C" w:rsidRDefault="007024DB" w:rsidP="00A1466C">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DFKaiShu-SB-Estd-BF" w:hint="eastAsia"/>
          <w:kern w:val="0"/>
          <w:szCs w:val="24"/>
        </w:rPr>
        <w:t>（二）需於本系任教服務滿一年以上，始得提出升等之申請。</w:t>
      </w:r>
    </w:p>
    <w:p w:rsidR="007024DB" w:rsidRPr="00A1466C" w:rsidRDefault="007024DB" w:rsidP="00A1466C">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（三）教師經核准全時進修、研究或學術交流者，於申請升等時，其全時進修、研究或學術交流期間年資最多</w:t>
      </w:r>
      <w:proofErr w:type="gramStart"/>
      <w:r w:rsidRPr="00A1466C">
        <w:rPr>
          <w:rFonts w:ascii="標楷體" w:eastAsia="標楷體" w:hAnsi="標楷體" w:cs="DFKaiShu-SB-Estd-BF" w:hint="eastAsia"/>
          <w:kern w:val="0"/>
          <w:szCs w:val="24"/>
        </w:rPr>
        <w:t>採</w:t>
      </w:r>
      <w:proofErr w:type="gramEnd"/>
      <w:r w:rsidRPr="00A1466C">
        <w:rPr>
          <w:rFonts w:ascii="標楷體" w:eastAsia="標楷體" w:hAnsi="標楷體" w:cs="DFKaiShu-SB-Estd-BF" w:hint="eastAsia"/>
          <w:kern w:val="0"/>
          <w:szCs w:val="24"/>
        </w:rPr>
        <w:t>計一年。經核准借調，且於借調期間返校義務授課者，於申請升等時，其借調期間年資最多</w:t>
      </w:r>
      <w:proofErr w:type="gramStart"/>
      <w:r w:rsidRPr="00A1466C">
        <w:rPr>
          <w:rFonts w:ascii="標楷體" w:eastAsia="標楷體" w:hAnsi="標楷體" w:cs="DFKaiShu-SB-Estd-BF" w:hint="eastAsia"/>
          <w:kern w:val="0"/>
          <w:szCs w:val="24"/>
        </w:rPr>
        <w:t>採</w:t>
      </w:r>
      <w:proofErr w:type="gramEnd"/>
      <w:r w:rsidRPr="00A1466C">
        <w:rPr>
          <w:rFonts w:ascii="標楷體" w:eastAsia="標楷體" w:hAnsi="標楷體" w:cs="DFKaiShu-SB-Estd-BF" w:hint="eastAsia"/>
          <w:kern w:val="0"/>
          <w:szCs w:val="24"/>
        </w:rPr>
        <w:t>計二年。</w:t>
      </w:r>
    </w:p>
    <w:p w:rsidR="007024DB" w:rsidRPr="00A1466C" w:rsidRDefault="007024DB" w:rsidP="00A1466C">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DFKaiShu-SB-Estd-BF" w:hint="eastAsia"/>
          <w:kern w:val="0"/>
          <w:szCs w:val="24"/>
        </w:rPr>
        <w:t>（四）申請升等之教師應於規定期限內向所屬系所提出，逾期不予受理。</w:t>
      </w:r>
    </w:p>
    <w:p w:rsidR="007024DB" w:rsidRPr="00A1466C" w:rsidRDefault="007024DB" w:rsidP="00A1466C">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（五）教師申請升等當學期必須有在校實際授課之事實，始得提出申請。凡教師在職</w:t>
      </w:r>
      <w:proofErr w:type="gramStart"/>
      <w:r w:rsidRPr="00A1466C">
        <w:rPr>
          <w:rFonts w:ascii="標楷體" w:eastAsia="標楷體" w:hAnsi="標楷體" w:cs="DFKaiShu-SB-Estd-BF" w:hint="eastAsia"/>
          <w:kern w:val="0"/>
          <w:szCs w:val="24"/>
        </w:rPr>
        <w:t>期間，</w:t>
      </w:r>
      <w:proofErr w:type="gramEnd"/>
      <w:r w:rsidRPr="00A1466C">
        <w:rPr>
          <w:rFonts w:ascii="標楷體" w:eastAsia="標楷體" w:hAnsi="標楷體" w:cs="DFKaiShu-SB-Estd-BF" w:hint="eastAsia"/>
          <w:kern w:val="0"/>
          <w:szCs w:val="24"/>
        </w:rPr>
        <w:t>因出國講學、研究、進修等，未實際在校授課者，不得提出申請。</w:t>
      </w:r>
    </w:p>
    <w:p w:rsidR="007024DB" w:rsidRPr="00A1466C" w:rsidRDefault="007024DB" w:rsidP="00A1466C">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Times New Roman"/>
          <w:kern w:val="0"/>
          <w:szCs w:val="24"/>
        </w:rPr>
        <w:t>(</w:t>
      </w:r>
      <w:r w:rsidRPr="00A1466C">
        <w:rPr>
          <w:rFonts w:ascii="標楷體" w:eastAsia="標楷體" w:hAnsi="標楷體" w:cs="DFKaiShu-SB-Estd-BF" w:hint="eastAsia"/>
          <w:kern w:val="0"/>
          <w:szCs w:val="24"/>
        </w:rPr>
        <w:t>六</w:t>
      </w:r>
      <w:r w:rsidRPr="00A1466C">
        <w:rPr>
          <w:rFonts w:ascii="標楷體" w:eastAsia="標楷體" w:hAnsi="標楷體" w:cs="Times New Roman"/>
          <w:kern w:val="0"/>
          <w:szCs w:val="24"/>
        </w:rPr>
        <w:t xml:space="preserve">) </w:t>
      </w:r>
      <w:r w:rsidRPr="00A1466C">
        <w:rPr>
          <w:rFonts w:ascii="標楷體" w:eastAsia="標楷體" w:hAnsi="標楷體" w:cs="DFKaiShu-SB-Estd-BF" w:hint="eastAsia"/>
          <w:kern w:val="0"/>
          <w:szCs w:val="24"/>
        </w:rPr>
        <w:t>升等代表著作可為下列任一項：專門著作、技術報告、作品或成就證明，並應符合下列所屬類型相關規定，始得提出升等申請：</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Times New Roman"/>
          <w:kern w:val="0"/>
          <w:szCs w:val="24"/>
        </w:rPr>
        <w:lastRenderedPageBreak/>
        <w:t>1.</w:t>
      </w:r>
      <w:r w:rsidRPr="00A1466C">
        <w:rPr>
          <w:rFonts w:ascii="標楷體" w:eastAsia="標楷體" w:hAnsi="標楷體" w:cs="DFKaiShu-SB-Estd-BF" w:hint="eastAsia"/>
          <w:kern w:val="0"/>
          <w:szCs w:val="24"/>
        </w:rPr>
        <w:t>以專門著作送審者：</w:t>
      </w:r>
    </w:p>
    <w:p w:rsidR="007024DB" w:rsidRPr="00A1466C" w:rsidRDefault="007024DB" w:rsidP="00A97D7A">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Times New Roman"/>
          <w:kern w:val="0"/>
          <w:szCs w:val="24"/>
        </w:rPr>
        <w:t>(1)</w:t>
      </w:r>
      <w:r w:rsidRPr="00A1466C">
        <w:rPr>
          <w:rFonts w:ascii="標楷體" w:eastAsia="標楷體" w:hAnsi="標楷體" w:cs="DFKaiShu-SB-Estd-BF" w:hint="eastAsia"/>
          <w:kern w:val="0"/>
          <w:szCs w:val="24"/>
        </w:rPr>
        <w:t>以期刊論文提出升等者：</w:t>
      </w:r>
    </w:p>
    <w:p w:rsidR="007024DB" w:rsidRPr="00A1466C" w:rsidRDefault="007024DB" w:rsidP="00A97D7A">
      <w:pPr>
        <w:autoSpaceDE w:val="0"/>
        <w:autoSpaceDN w:val="0"/>
        <w:adjustRightInd w:val="0"/>
        <w:ind w:leftChars="200" w:left="96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A.</w:t>
      </w:r>
      <w:r w:rsidRPr="00A1466C">
        <w:rPr>
          <w:rFonts w:ascii="標楷體" w:eastAsia="標楷體" w:hAnsi="標楷體" w:cs="DFKaiShu-SB-Estd-BF" w:hint="eastAsia"/>
          <w:kern w:val="0"/>
          <w:szCs w:val="24"/>
        </w:rPr>
        <w:t>講師升等助理教授者：至少有二篇具審查制度之期刊，且代表著作為第一作者。</w:t>
      </w:r>
    </w:p>
    <w:p w:rsidR="007024DB" w:rsidRPr="00A1466C" w:rsidRDefault="007024DB" w:rsidP="00A97D7A">
      <w:pPr>
        <w:autoSpaceDE w:val="0"/>
        <w:autoSpaceDN w:val="0"/>
        <w:adjustRightInd w:val="0"/>
        <w:ind w:leftChars="200" w:left="96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B.</w:t>
      </w:r>
      <w:r w:rsidRPr="00A1466C">
        <w:rPr>
          <w:rFonts w:ascii="標楷體" w:eastAsia="標楷體" w:hAnsi="標楷體" w:cs="DFKaiShu-SB-Estd-BF" w:hint="eastAsia"/>
          <w:kern w:val="0"/>
          <w:szCs w:val="24"/>
        </w:rPr>
        <w:t>助理教授升等副教授者：至少有一篇</w:t>
      </w:r>
      <w:r w:rsidRPr="00A1466C">
        <w:rPr>
          <w:rFonts w:ascii="標楷體" w:eastAsia="標楷體" w:hAnsi="標楷體" w:cs="Times New Roman"/>
          <w:kern w:val="0"/>
          <w:szCs w:val="24"/>
        </w:rPr>
        <w:t>SSCI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TSSCI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EI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AHCI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THCI Core(105</w:t>
      </w:r>
      <w:r w:rsidRPr="00A1466C">
        <w:rPr>
          <w:rFonts w:ascii="標楷體" w:eastAsia="標楷體" w:hAnsi="標楷體" w:cs="DFKaiShu-SB-Estd-BF" w:hint="eastAsia"/>
          <w:kern w:val="0"/>
          <w:szCs w:val="24"/>
        </w:rPr>
        <w:t>年起更名為</w:t>
      </w:r>
      <w:proofErr w:type="spellStart"/>
      <w:r w:rsidRPr="00A1466C">
        <w:rPr>
          <w:rFonts w:ascii="標楷體" w:eastAsia="標楷體" w:hAnsi="標楷體" w:cs="Times New Roman"/>
          <w:kern w:val="0"/>
          <w:szCs w:val="24"/>
        </w:rPr>
        <w:t>TCIcore</w:t>
      </w:r>
      <w:proofErr w:type="spellEnd"/>
      <w:r w:rsidRPr="00A1466C">
        <w:rPr>
          <w:rFonts w:ascii="標楷體" w:eastAsia="標楷體" w:hAnsi="標楷體" w:cs="Times New Roman"/>
          <w:kern w:val="0"/>
          <w:szCs w:val="24"/>
        </w:rPr>
        <w:t>-THCI</w:t>
      </w:r>
      <w:r w:rsidRPr="00A1466C">
        <w:rPr>
          <w:rFonts w:ascii="標楷體" w:eastAsia="標楷體" w:hAnsi="標楷體" w:cs="DFKaiShu-SB-Estd-BF" w:hint="eastAsia"/>
          <w:kern w:val="0"/>
          <w:szCs w:val="24"/>
        </w:rPr>
        <w:t>，簡稱</w:t>
      </w:r>
      <w:r w:rsidRPr="00A1466C">
        <w:rPr>
          <w:rFonts w:ascii="標楷體" w:eastAsia="標楷體" w:hAnsi="標楷體" w:cs="Times New Roman"/>
          <w:kern w:val="0"/>
          <w:szCs w:val="24"/>
        </w:rPr>
        <w:t>THCI)</w:t>
      </w:r>
      <w:r w:rsidRPr="00A1466C">
        <w:rPr>
          <w:rFonts w:ascii="標楷體" w:eastAsia="標楷體" w:hAnsi="標楷體" w:cs="DFKaiShu-SB-Estd-BF" w:hint="eastAsia"/>
          <w:kern w:val="0"/>
          <w:szCs w:val="24"/>
        </w:rPr>
        <w:t>或至少有三篇具審查制度之期刊，且代表著作為第一作者。</w:t>
      </w:r>
    </w:p>
    <w:p w:rsidR="007024DB" w:rsidRPr="00A1466C" w:rsidRDefault="007024DB" w:rsidP="00A97D7A">
      <w:pPr>
        <w:autoSpaceDE w:val="0"/>
        <w:autoSpaceDN w:val="0"/>
        <w:adjustRightInd w:val="0"/>
        <w:ind w:leftChars="200" w:left="96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C.</w:t>
      </w:r>
      <w:r w:rsidRPr="00A1466C">
        <w:rPr>
          <w:rFonts w:ascii="標楷體" w:eastAsia="標楷體" w:hAnsi="標楷體" w:cs="DFKaiShu-SB-Estd-BF" w:hint="eastAsia"/>
          <w:kern w:val="0"/>
          <w:szCs w:val="24"/>
        </w:rPr>
        <w:t>副教授升等教授者：至少有兩篇</w:t>
      </w:r>
      <w:r w:rsidRPr="00A1466C">
        <w:rPr>
          <w:rFonts w:ascii="標楷體" w:eastAsia="標楷體" w:hAnsi="標楷體" w:cs="Times New Roman"/>
          <w:kern w:val="0"/>
          <w:szCs w:val="24"/>
        </w:rPr>
        <w:t>SSCI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TSSCI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SCI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EI</w:t>
      </w:r>
      <w:r w:rsidRPr="00A1466C">
        <w:rPr>
          <w:rFonts w:ascii="標楷體" w:eastAsia="標楷體" w:hAnsi="標楷體" w:cs="DFKaiShu-SB-Estd-BF" w:hint="eastAsia"/>
          <w:kern w:val="0"/>
          <w:szCs w:val="24"/>
        </w:rPr>
        <w:t>、</w:t>
      </w:r>
      <w:r w:rsidRPr="00A1466C">
        <w:rPr>
          <w:rFonts w:ascii="標楷體" w:eastAsia="標楷體" w:hAnsi="標楷體" w:cs="Times New Roman"/>
          <w:kern w:val="0"/>
          <w:szCs w:val="24"/>
        </w:rPr>
        <w:t>AHCI</w:t>
      </w:r>
      <w:r w:rsidRPr="00A1466C">
        <w:rPr>
          <w:rFonts w:ascii="標楷體" w:eastAsia="標楷體" w:hAnsi="標楷體" w:cs="DFKaiShu-SB-Estd-BF" w:hint="eastAsia"/>
          <w:kern w:val="0"/>
          <w:szCs w:val="24"/>
        </w:rPr>
        <w:t>或</w:t>
      </w:r>
      <w:r w:rsidRPr="00A1466C">
        <w:rPr>
          <w:rFonts w:ascii="標楷體" w:eastAsia="標楷體" w:hAnsi="標楷體" w:cs="Times New Roman"/>
          <w:kern w:val="0"/>
          <w:szCs w:val="24"/>
        </w:rPr>
        <w:t>THCI Core(105</w:t>
      </w:r>
      <w:r w:rsidRPr="00A1466C">
        <w:rPr>
          <w:rFonts w:ascii="標楷體" w:eastAsia="標楷體" w:hAnsi="標楷體" w:cs="DFKaiShu-SB-Estd-BF" w:hint="eastAsia"/>
          <w:kern w:val="0"/>
          <w:szCs w:val="24"/>
        </w:rPr>
        <w:t>年起更名為</w:t>
      </w:r>
      <w:proofErr w:type="spellStart"/>
      <w:r w:rsidRPr="00A1466C">
        <w:rPr>
          <w:rFonts w:ascii="標楷體" w:eastAsia="標楷體" w:hAnsi="標楷體" w:cs="Times New Roman"/>
          <w:kern w:val="0"/>
          <w:szCs w:val="24"/>
        </w:rPr>
        <w:t>TCIcore</w:t>
      </w:r>
      <w:proofErr w:type="spellEnd"/>
      <w:r w:rsidRPr="00A1466C">
        <w:rPr>
          <w:rFonts w:ascii="標楷體" w:eastAsia="標楷體" w:hAnsi="標楷體" w:cs="Times New Roman"/>
          <w:kern w:val="0"/>
          <w:szCs w:val="24"/>
        </w:rPr>
        <w:t>-THCI</w:t>
      </w:r>
      <w:r w:rsidRPr="00A1466C">
        <w:rPr>
          <w:rFonts w:ascii="標楷體" w:eastAsia="標楷體" w:hAnsi="標楷體" w:cs="DFKaiShu-SB-Estd-BF" w:hint="eastAsia"/>
          <w:kern w:val="0"/>
          <w:szCs w:val="24"/>
        </w:rPr>
        <w:t>，簡稱</w:t>
      </w:r>
      <w:r w:rsidRPr="00A1466C">
        <w:rPr>
          <w:rFonts w:ascii="標楷體" w:eastAsia="標楷體" w:hAnsi="標楷體" w:cs="Times New Roman"/>
          <w:kern w:val="0"/>
          <w:szCs w:val="24"/>
        </w:rPr>
        <w:t>THCI)</w:t>
      </w:r>
      <w:r w:rsidRPr="00A1466C">
        <w:rPr>
          <w:rFonts w:ascii="標楷體" w:eastAsia="標楷體" w:hAnsi="標楷體" w:cs="DFKaiShu-SB-Estd-BF" w:hint="eastAsia"/>
          <w:kern w:val="0"/>
          <w:szCs w:val="24"/>
        </w:rPr>
        <w:t>之期刊論文，且代表著作為第一作者。</w:t>
      </w:r>
    </w:p>
    <w:p w:rsidR="007024DB" w:rsidRPr="00A1466C" w:rsidRDefault="007024DB" w:rsidP="00A97D7A">
      <w:pPr>
        <w:autoSpaceDE w:val="0"/>
        <w:autoSpaceDN w:val="0"/>
        <w:adjustRightInd w:val="0"/>
        <w:ind w:firstLineChars="100" w:firstLine="240"/>
        <w:rPr>
          <w:rFonts w:ascii="標楷體" w:eastAsia="標楷體" w:hAnsi="標楷體" w:cs="DFKaiShu-SB-Estd-BF"/>
          <w:kern w:val="0"/>
          <w:szCs w:val="24"/>
        </w:rPr>
      </w:pPr>
      <w:r w:rsidRPr="00A1466C">
        <w:rPr>
          <w:rFonts w:ascii="標楷體" w:eastAsia="標楷體" w:hAnsi="標楷體" w:cs="Times New Roman"/>
          <w:kern w:val="0"/>
          <w:szCs w:val="24"/>
        </w:rPr>
        <w:t>(2)</w:t>
      </w:r>
      <w:r w:rsidRPr="00A1466C">
        <w:rPr>
          <w:rFonts w:ascii="標楷體" w:eastAsia="標楷體" w:hAnsi="標楷體" w:cs="DFKaiShu-SB-Estd-BF" w:hint="eastAsia"/>
          <w:kern w:val="0"/>
          <w:szCs w:val="24"/>
        </w:rPr>
        <w:t>以專書或專書論文提出升等者，須符合下列要點：</w:t>
      </w:r>
    </w:p>
    <w:p w:rsidR="007024DB" w:rsidRPr="00A1466C" w:rsidRDefault="007024DB" w:rsidP="00A97D7A">
      <w:pPr>
        <w:autoSpaceDE w:val="0"/>
        <w:autoSpaceDN w:val="0"/>
        <w:adjustRightInd w:val="0"/>
        <w:ind w:firstLineChars="200" w:firstLine="480"/>
        <w:rPr>
          <w:rFonts w:ascii="標楷體" w:eastAsia="標楷體" w:hAnsi="標楷體" w:cs="DFKaiShu-SB-Estd-BF"/>
          <w:kern w:val="0"/>
          <w:szCs w:val="24"/>
        </w:rPr>
      </w:pPr>
      <w:r w:rsidRPr="00A1466C">
        <w:rPr>
          <w:rFonts w:ascii="標楷體" w:eastAsia="標楷體" w:hAnsi="標楷體" w:cs="Times New Roman"/>
          <w:kern w:val="0"/>
          <w:szCs w:val="24"/>
        </w:rPr>
        <w:t>A.</w:t>
      </w:r>
      <w:r w:rsidRPr="00A1466C">
        <w:rPr>
          <w:rFonts w:ascii="標楷體" w:eastAsia="標楷體" w:hAnsi="標楷體" w:cs="DFKaiShu-SB-Estd-BF" w:hint="eastAsia"/>
          <w:kern w:val="0"/>
          <w:szCs w:val="24"/>
        </w:rPr>
        <w:t>主題具系統性且屬</w:t>
      </w:r>
      <w:proofErr w:type="gramStart"/>
      <w:r w:rsidRPr="00A1466C">
        <w:rPr>
          <w:rFonts w:ascii="標楷體" w:eastAsia="標楷體" w:hAnsi="標楷體" w:cs="DFKaiShu-SB-Estd-BF" w:hint="eastAsia"/>
          <w:kern w:val="0"/>
          <w:szCs w:val="24"/>
        </w:rPr>
        <w:t>人文類者</w:t>
      </w:r>
      <w:proofErr w:type="gramEnd"/>
      <w:r w:rsidRPr="00A1466C">
        <w:rPr>
          <w:rFonts w:ascii="標楷體" w:eastAsia="標楷體" w:hAnsi="標楷體" w:cs="DFKaiShu-SB-Estd-BF" w:hint="eastAsia"/>
          <w:kern w:val="0"/>
          <w:szCs w:val="24"/>
        </w:rPr>
        <w:t>。</w:t>
      </w:r>
    </w:p>
    <w:p w:rsidR="007024DB" w:rsidRPr="00A1466C" w:rsidRDefault="007024DB" w:rsidP="00A97D7A">
      <w:pPr>
        <w:autoSpaceDE w:val="0"/>
        <w:autoSpaceDN w:val="0"/>
        <w:adjustRightInd w:val="0"/>
        <w:ind w:firstLineChars="200" w:firstLine="480"/>
        <w:rPr>
          <w:rFonts w:ascii="標楷體" w:eastAsia="標楷體" w:hAnsi="標楷體" w:cs="DFKaiShu-SB-Estd-BF"/>
          <w:kern w:val="0"/>
          <w:szCs w:val="24"/>
        </w:rPr>
      </w:pPr>
      <w:r w:rsidRPr="00A1466C">
        <w:rPr>
          <w:rFonts w:ascii="標楷體" w:eastAsia="標楷體" w:hAnsi="標楷體" w:cs="Times New Roman"/>
          <w:kern w:val="0"/>
          <w:szCs w:val="24"/>
        </w:rPr>
        <w:t>B.</w:t>
      </w:r>
      <w:r w:rsidRPr="00A1466C">
        <w:rPr>
          <w:rFonts w:ascii="標楷體" w:eastAsia="標楷體" w:hAnsi="標楷體" w:cs="DFKaiShu-SB-Estd-BF" w:hint="eastAsia"/>
          <w:kern w:val="0"/>
          <w:szCs w:val="24"/>
        </w:rPr>
        <w:t>內容須有一篇以上或一部分在具審查制度之期刊發表。</w:t>
      </w:r>
    </w:p>
    <w:p w:rsidR="007024DB" w:rsidRPr="00A1466C" w:rsidRDefault="007024DB" w:rsidP="00A97D7A">
      <w:pPr>
        <w:autoSpaceDE w:val="0"/>
        <w:autoSpaceDN w:val="0"/>
        <w:adjustRightInd w:val="0"/>
        <w:ind w:firstLineChars="200" w:firstLine="480"/>
        <w:rPr>
          <w:rFonts w:ascii="標楷體" w:eastAsia="標楷體" w:hAnsi="標楷體" w:cs="DFKaiShu-SB-Estd-BF"/>
          <w:kern w:val="0"/>
          <w:szCs w:val="24"/>
        </w:rPr>
      </w:pPr>
      <w:r w:rsidRPr="00A1466C">
        <w:rPr>
          <w:rFonts w:ascii="標楷體" w:eastAsia="標楷體" w:hAnsi="標楷體" w:cs="Times New Roman"/>
          <w:kern w:val="0"/>
          <w:szCs w:val="24"/>
        </w:rPr>
        <w:t>C.</w:t>
      </w:r>
      <w:r w:rsidRPr="00A1466C">
        <w:rPr>
          <w:rFonts w:ascii="標楷體" w:eastAsia="標楷體" w:hAnsi="標楷體" w:cs="DFKaiShu-SB-Estd-BF" w:hint="eastAsia"/>
          <w:kern w:val="0"/>
          <w:szCs w:val="24"/>
        </w:rPr>
        <w:t>篇幅：</w:t>
      </w:r>
    </w:p>
    <w:p w:rsidR="007024DB" w:rsidRPr="00A1466C" w:rsidRDefault="007024DB" w:rsidP="00A97D7A">
      <w:pPr>
        <w:autoSpaceDE w:val="0"/>
        <w:autoSpaceDN w:val="0"/>
        <w:adjustRightInd w:val="0"/>
        <w:ind w:firstLineChars="300" w:firstLine="720"/>
        <w:rPr>
          <w:rFonts w:ascii="標楷體" w:eastAsia="標楷體" w:hAnsi="標楷體" w:cs="DFKaiShu-SB-Estd-BF"/>
          <w:kern w:val="0"/>
          <w:szCs w:val="24"/>
        </w:rPr>
      </w:pPr>
      <w:r w:rsidRPr="00A1466C">
        <w:rPr>
          <w:rFonts w:ascii="標楷體" w:eastAsia="標楷體" w:hAnsi="標楷體" w:cs="Times New Roman"/>
          <w:kern w:val="0"/>
          <w:szCs w:val="24"/>
        </w:rPr>
        <w:t>(A)</w:t>
      </w:r>
      <w:r w:rsidRPr="00A1466C">
        <w:rPr>
          <w:rFonts w:ascii="標楷體" w:eastAsia="標楷體" w:hAnsi="標楷體" w:cs="DFKaiShu-SB-Estd-BF" w:hint="eastAsia"/>
          <w:kern w:val="0"/>
          <w:szCs w:val="24"/>
        </w:rPr>
        <w:t>外文著作者至少</w:t>
      </w:r>
      <w:r w:rsidRPr="00A1466C">
        <w:rPr>
          <w:rFonts w:ascii="標楷體" w:eastAsia="標楷體" w:hAnsi="標楷體" w:cs="DFKaiShu-SB-Estd-BF"/>
          <w:kern w:val="0"/>
          <w:szCs w:val="24"/>
        </w:rPr>
        <w:t xml:space="preserve"> </w:t>
      </w:r>
      <w:r w:rsidRPr="00A1466C">
        <w:rPr>
          <w:rFonts w:ascii="標楷體" w:eastAsia="標楷體" w:hAnsi="標楷體" w:cs="Times New Roman"/>
          <w:kern w:val="0"/>
          <w:szCs w:val="24"/>
        </w:rPr>
        <w:t xml:space="preserve">120 </w:t>
      </w:r>
      <w:r w:rsidRPr="00A1466C">
        <w:rPr>
          <w:rFonts w:ascii="標楷體" w:eastAsia="標楷體" w:hAnsi="標楷體" w:cs="DFKaiShu-SB-Estd-BF" w:hint="eastAsia"/>
          <w:kern w:val="0"/>
          <w:szCs w:val="24"/>
        </w:rPr>
        <w:t>頁。</w:t>
      </w:r>
    </w:p>
    <w:p w:rsidR="007024DB" w:rsidRPr="00A1466C" w:rsidRDefault="007024DB" w:rsidP="00A97D7A">
      <w:pPr>
        <w:autoSpaceDE w:val="0"/>
        <w:autoSpaceDN w:val="0"/>
        <w:adjustRightInd w:val="0"/>
        <w:ind w:firstLineChars="300" w:firstLine="720"/>
        <w:rPr>
          <w:rFonts w:ascii="標楷體" w:eastAsia="標楷體" w:hAnsi="標楷體" w:cs="DFKaiShu-SB-Estd-BF"/>
          <w:kern w:val="0"/>
          <w:szCs w:val="24"/>
        </w:rPr>
      </w:pPr>
      <w:r w:rsidRPr="00A1466C">
        <w:rPr>
          <w:rFonts w:ascii="標楷體" w:eastAsia="標楷體" w:hAnsi="標楷體" w:cs="Times New Roman"/>
          <w:kern w:val="0"/>
          <w:szCs w:val="24"/>
        </w:rPr>
        <w:t>(B)</w:t>
      </w:r>
      <w:r w:rsidRPr="00A1466C">
        <w:rPr>
          <w:rFonts w:ascii="標楷體" w:eastAsia="標楷體" w:hAnsi="標楷體" w:cs="DFKaiShu-SB-Estd-BF" w:hint="eastAsia"/>
          <w:kern w:val="0"/>
          <w:szCs w:val="24"/>
        </w:rPr>
        <w:t>中文著作者：</w:t>
      </w:r>
    </w:p>
    <w:p w:rsidR="007024DB" w:rsidRPr="00A1466C" w:rsidRDefault="007024DB" w:rsidP="00A97D7A">
      <w:pPr>
        <w:autoSpaceDE w:val="0"/>
        <w:autoSpaceDN w:val="0"/>
        <w:adjustRightInd w:val="0"/>
        <w:ind w:firstLineChars="500" w:firstLine="1200"/>
        <w:rPr>
          <w:rFonts w:ascii="標楷體" w:eastAsia="標楷體" w:hAnsi="標楷體" w:cs="DFKaiShu-SB-Estd-BF"/>
          <w:kern w:val="0"/>
          <w:szCs w:val="24"/>
        </w:rPr>
      </w:pPr>
      <w:r w:rsidRPr="00A1466C">
        <w:rPr>
          <w:rFonts w:ascii="標楷體" w:eastAsia="標楷體" w:hAnsi="標楷體" w:cs="Times New Roman"/>
          <w:kern w:val="0"/>
          <w:szCs w:val="24"/>
        </w:rPr>
        <w:t>a</w:t>
      </w:r>
      <w:r w:rsidRPr="00A1466C">
        <w:rPr>
          <w:rFonts w:ascii="標楷體" w:eastAsia="標楷體" w:hAnsi="標楷體" w:cs="DFKaiShu-SB-Estd-BF" w:hint="eastAsia"/>
          <w:kern w:val="0"/>
          <w:szCs w:val="24"/>
        </w:rPr>
        <w:t>、講師升等助理教授者：至少六萬字。</w:t>
      </w:r>
    </w:p>
    <w:p w:rsidR="007024DB" w:rsidRPr="00A1466C" w:rsidRDefault="007024DB" w:rsidP="00A97D7A">
      <w:pPr>
        <w:autoSpaceDE w:val="0"/>
        <w:autoSpaceDN w:val="0"/>
        <w:adjustRightInd w:val="0"/>
        <w:ind w:firstLineChars="500" w:firstLine="1200"/>
        <w:rPr>
          <w:rFonts w:ascii="標楷體" w:eastAsia="標楷體" w:hAnsi="標楷體" w:cs="DFKaiShu-SB-Estd-BF"/>
          <w:kern w:val="0"/>
          <w:szCs w:val="24"/>
        </w:rPr>
      </w:pPr>
      <w:r w:rsidRPr="00A1466C">
        <w:rPr>
          <w:rFonts w:ascii="標楷體" w:eastAsia="標楷體" w:hAnsi="標楷體" w:cs="Times New Roman"/>
          <w:kern w:val="0"/>
          <w:szCs w:val="24"/>
        </w:rPr>
        <w:t>b</w:t>
      </w:r>
      <w:r w:rsidRPr="00A1466C">
        <w:rPr>
          <w:rFonts w:ascii="標楷體" w:eastAsia="標楷體" w:hAnsi="標楷體" w:cs="DFKaiShu-SB-Estd-BF" w:hint="eastAsia"/>
          <w:kern w:val="0"/>
          <w:szCs w:val="24"/>
        </w:rPr>
        <w:t>、助理教授升等副教授者：至少八萬字。</w:t>
      </w:r>
    </w:p>
    <w:p w:rsidR="007024DB" w:rsidRPr="00A1466C" w:rsidRDefault="007024DB" w:rsidP="00A97D7A">
      <w:pPr>
        <w:autoSpaceDE w:val="0"/>
        <w:autoSpaceDN w:val="0"/>
        <w:adjustRightInd w:val="0"/>
        <w:ind w:firstLineChars="500" w:firstLine="1200"/>
        <w:rPr>
          <w:rFonts w:ascii="標楷體" w:eastAsia="標楷體" w:hAnsi="標楷體" w:cs="DFKaiShu-SB-Estd-BF"/>
          <w:kern w:val="0"/>
          <w:szCs w:val="24"/>
        </w:rPr>
      </w:pPr>
      <w:r w:rsidRPr="00A1466C">
        <w:rPr>
          <w:rFonts w:ascii="標楷體" w:eastAsia="標楷體" w:hAnsi="標楷體" w:cs="Times New Roman"/>
          <w:kern w:val="0"/>
          <w:szCs w:val="24"/>
        </w:rPr>
        <w:t>c</w:t>
      </w:r>
      <w:r w:rsidRPr="00A1466C">
        <w:rPr>
          <w:rFonts w:ascii="標楷體" w:eastAsia="標楷體" w:hAnsi="標楷體" w:cs="DFKaiShu-SB-Estd-BF" w:hint="eastAsia"/>
          <w:kern w:val="0"/>
          <w:szCs w:val="24"/>
        </w:rPr>
        <w:t>、副教授升等教授者：至少十萬字。</w:t>
      </w:r>
    </w:p>
    <w:p w:rsidR="007024DB" w:rsidRPr="00A1466C" w:rsidRDefault="00A97D7A" w:rsidP="00A97D7A">
      <w:pPr>
        <w:pStyle w:val="a3"/>
        <w:autoSpaceDE w:val="0"/>
        <w:autoSpaceDN w:val="0"/>
        <w:adjustRightInd w:val="0"/>
        <w:ind w:leftChars="0" w:firstLineChars="300" w:firstLine="720"/>
        <w:rPr>
          <w:rFonts w:ascii="標楷體" w:eastAsia="標楷體" w:hAnsi="標楷體" w:cs="DFKaiShu-SB-Estd-BF"/>
          <w:kern w:val="0"/>
          <w:szCs w:val="24"/>
        </w:rPr>
      </w:pPr>
      <w:r>
        <w:rPr>
          <w:rFonts w:ascii="標楷體" w:eastAsia="標楷體" w:hAnsi="標楷體" w:cs="Times New Roman" w:hint="eastAsia"/>
          <w:kern w:val="0"/>
          <w:szCs w:val="24"/>
        </w:rPr>
        <w:t>D、</w:t>
      </w:r>
      <w:r w:rsidR="007024DB" w:rsidRPr="00A1466C">
        <w:rPr>
          <w:rFonts w:ascii="標楷體" w:eastAsia="標楷體" w:hAnsi="標楷體" w:cs="DFKaiShu-SB-Estd-BF" w:hint="eastAsia"/>
          <w:kern w:val="0"/>
          <w:szCs w:val="24"/>
        </w:rPr>
        <w:t>已出版且附專家學術審查書面意見。</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Times New Roman"/>
          <w:kern w:val="0"/>
          <w:szCs w:val="24"/>
        </w:rPr>
        <w:t>2.</w:t>
      </w:r>
      <w:r w:rsidRPr="00A1466C">
        <w:rPr>
          <w:rFonts w:ascii="標楷體" w:eastAsia="標楷體" w:hAnsi="標楷體" w:cs="DFKaiShu-SB-Estd-BF" w:hint="eastAsia"/>
          <w:kern w:val="0"/>
          <w:szCs w:val="24"/>
        </w:rPr>
        <w:t>以技術報告送審者：</w:t>
      </w:r>
    </w:p>
    <w:p w:rsidR="007024DB" w:rsidRPr="00A1466C" w:rsidRDefault="007024DB" w:rsidP="00A97D7A">
      <w:pPr>
        <w:autoSpaceDE w:val="0"/>
        <w:autoSpaceDN w:val="0"/>
        <w:adjustRightInd w:val="0"/>
        <w:ind w:leftChars="100" w:left="72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(1)</w:t>
      </w:r>
      <w:r w:rsidRPr="00A1466C">
        <w:rPr>
          <w:rFonts w:ascii="標楷體" w:eastAsia="標楷體" w:hAnsi="標楷體" w:cs="DFKaiShu-SB-Estd-BF" w:hint="eastAsia"/>
          <w:kern w:val="0"/>
          <w:szCs w:val="24"/>
        </w:rPr>
        <w:t>以技術應用成果之技術報告送審者：須符合本校教師資格審查外審作業辦法所規定技術應用成果類之審查範圍及基準。</w:t>
      </w:r>
    </w:p>
    <w:p w:rsidR="007024DB" w:rsidRPr="00A1466C" w:rsidRDefault="007024DB" w:rsidP="00A97D7A">
      <w:pPr>
        <w:autoSpaceDE w:val="0"/>
        <w:autoSpaceDN w:val="0"/>
        <w:adjustRightInd w:val="0"/>
        <w:ind w:leftChars="100" w:left="72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(2)</w:t>
      </w:r>
      <w:r w:rsidRPr="00A1466C">
        <w:rPr>
          <w:rFonts w:ascii="標楷體" w:eastAsia="標楷體" w:hAnsi="標楷體" w:cs="DFKaiShu-SB-Estd-BF" w:hint="eastAsia"/>
          <w:kern w:val="0"/>
          <w:szCs w:val="24"/>
        </w:rPr>
        <w:t>以教學實務成果之技術報告送審者：須符合本校教師資格審查外審作業辦法所規定教學實務成果類之審查範圍及基準。</w:t>
      </w:r>
    </w:p>
    <w:p w:rsidR="007024DB" w:rsidRPr="00A1466C" w:rsidRDefault="007024DB" w:rsidP="00A97D7A">
      <w:pPr>
        <w:autoSpaceDE w:val="0"/>
        <w:autoSpaceDN w:val="0"/>
        <w:adjustRightInd w:val="0"/>
        <w:ind w:left="480" w:hangingChars="200" w:hanging="480"/>
        <w:rPr>
          <w:rFonts w:ascii="標楷體" w:eastAsia="標楷體" w:hAnsi="標楷體" w:cs="DFKaiShu-SB-Estd-BF"/>
          <w:kern w:val="0"/>
          <w:szCs w:val="24"/>
        </w:rPr>
      </w:pPr>
      <w:r w:rsidRPr="00A1466C">
        <w:rPr>
          <w:rFonts w:ascii="標楷體" w:eastAsia="標楷體" w:hAnsi="標楷體" w:cs="Times New Roman"/>
          <w:kern w:val="0"/>
          <w:szCs w:val="24"/>
        </w:rPr>
        <w:t>3.</w:t>
      </w:r>
      <w:r w:rsidRPr="00A1466C">
        <w:rPr>
          <w:rFonts w:ascii="標楷體" w:eastAsia="標楷體" w:hAnsi="標楷體" w:cs="DFKaiShu-SB-Estd-BF" w:hint="eastAsia"/>
          <w:kern w:val="0"/>
          <w:szCs w:val="24"/>
        </w:rPr>
        <w:t>以作品或成就證明送審者：須符合教育部訂頒「專科以上學校教師資格審定辦法」之相關審查範圍及基準。</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六、系教評會受理教師升等案時，應依據本系教師升等評分細則辦理。</w:t>
      </w:r>
    </w:p>
    <w:p w:rsidR="007024DB" w:rsidRPr="00A1466C" w:rsidRDefault="007024DB" w:rsidP="00A97D7A">
      <w:pPr>
        <w:autoSpaceDE w:val="0"/>
        <w:autoSpaceDN w:val="0"/>
        <w:adjustRightInd w:val="0"/>
        <w:ind w:firstLineChars="200" w:firstLine="480"/>
        <w:rPr>
          <w:rFonts w:ascii="標楷體" w:eastAsia="標楷體" w:hAnsi="標楷體" w:cs="DFKaiShu-SB-Estd-BF"/>
          <w:kern w:val="0"/>
          <w:szCs w:val="24"/>
        </w:rPr>
      </w:pPr>
      <w:r w:rsidRPr="00A1466C">
        <w:rPr>
          <w:rFonts w:ascii="標楷體" w:eastAsia="標楷體" w:hAnsi="標楷體" w:cs="DFKaiShu-SB-Estd-BF" w:hint="eastAsia"/>
          <w:kern w:val="0"/>
          <w:szCs w:val="24"/>
        </w:rPr>
        <w:t>前項</w:t>
      </w:r>
      <w:proofErr w:type="gramStart"/>
      <w:r w:rsidRPr="00A1466C">
        <w:rPr>
          <w:rFonts w:ascii="標楷體" w:eastAsia="標楷體" w:hAnsi="標楷體" w:cs="DFKaiShu-SB-Estd-BF" w:hint="eastAsia"/>
          <w:kern w:val="0"/>
          <w:szCs w:val="24"/>
        </w:rPr>
        <w:t>所列本系</w:t>
      </w:r>
      <w:proofErr w:type="gramEnd"/>
      <w:r w:rsidRPr="00A1466C">
        <w:rPr>
          <w:rFonts w:ascii="標楷體" w:eastAsia="標楷體" w:hAnsi="標楷體" w:cs="DFKaiShu-SB-Estd-BF" w:hint="eastAsia"/>
          <w:kern w:val="0"/>
          <w:szCs w:val="24"/>
        </w:rPr>
        <w:t>教師升等評分細則另訂之。</w:t>
      </w:r>
    </w:p>
    <w:p w:rsidR="007024DB" w:rsidRPr="00A1466C" w:rsidRDefault="007024DB" w:rsidP="007024DB">
      <w:pPr>
        <w:pStyle w:val="a3"/>
        <w:autoSpaceDE w:val="0"/>
        <w:autoSpaceDN w:val="0"/>
        <w:adjustRightInd w:val="0"/>
        <w:ind w:leftChars="0"/>
        <w:rPr>
          <w:rFonts w:ascii="標楷體" w:eastAsia="標楷體" w:hAnsi="標楷體" w:cs="DFKaiShu-SB-Estd-BF"/>
          <w:kern w:val="0"/>
          <w:szCs w:val="24"/>
        </w:rPr>
      </w:pPr>
      <w:r w:rsidRPr="00A1466C">
        <w:rPr>
          <w:rFonts w:ascii="標楷體" w:eastAsia="標楷體" w:hAnsi="標楷體" w:cs="DFKaiShu-SB-Estd-BF" w:hint="eastAsia"/>
          <w:kern w:val="0"/>
          <w:szCs w:val="24"/>
        </w:rPr>
        <w:t>升等評分滿分為一百分，升等助理教授及副教授達</w:t>
      </w:r>
      <w:r w:rsidRPr="00A1466C">
        <w:rPr>
          <w:rFonts w:ascii="標楷體" w:eastAsia="標楷體" w:hAnsi="標楷體" w:cs="Times New Roman"/>
          <w:kern w:val="0"/>
          <w:szCs w:val="24"/>
        </w:rPr>
        <w:t xml:space="preserve">70 </w:t>
      </w:r>
      <w:r w:rsidRPr="00A1466C">
        <w:rPr>
          <w:rFonts w:ascii="標楷體" w:eastAsia="標楷體" w:hAnsi="標楷體" w:cs="DFKaiShu-SB-Estd-BF" w:hint="eastAsia"/>
          <w:kern w:val="0"/>
          <w:szCs w:val="24"/>
        </w:rPr>
        <w:t>分以上、教授達</w:t>
      </w:r>
      <w:r w:rsidRPr="00A1466C">
        <w:rPr>
          <w:rFonts w:ascii="標楷體" w:eastAsia="標楷體" w:hAnsi="標楷體" w:cs="Times New Roman"/>
          <w:kern w:val="0"/>
          <w:szCs w:val="24"/>
        </w:rPr>
        <w:t xml:space="preserve">75 </w:t>
      </w:r>
      <w:r w:rsidRPr="00A1466C">
        <w:rPr>
          <w:rFonts w:ascii="標楷體" w:eastAsia="標楷體" w:hAnsi="標楷體" w:cs="DFKaiShu-SB-Estd-BF" w:hint="eastAsia"/>
          <w:kern w:val="0"/>
          <w:szCs w:val="24"/>
        </w:rPr>
        <w:t>分以上為及格</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七、本系專任教師升等程序及相關規定如下：</w:t>
      </w:r>
    </w:p>
    <w:p w:rsidR="007024DB" w:rsidRPr="00A1466C" w:rsidRDefault="007024DB" w:rsidP="00A97D7A">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（一）申請人應填具本校「教師升等評分表」、連同升等著作及各項表件等，依第四點規定時</w:t>
      </w:r>
      <w:proofErr w:type="gramStart"/>
      <w:r w:rsidRPr="00A1466C">
        <w:rPr>
          <w:rFonts w:ascii="標楷體" w:eastAsia="標楷體" w:hAnsi="標楷體" w:cs="DFKaiShu-SB-Estd-BF" w:hint="eastAsia"/>
          <w:kern w:val="0"/>
          <w:szCs w:val="24"/>
        </w:rPr>
        <w:t>程送請系</w:t>
      </w:r>
      <w:proofErr w:type="gramEnd"/>
      <w:r w:rsidRPr="00A1466C">
        <w:rPr>
          <w:rFonts w:ascii="標楷體" w:eastAsia="標楷體" w:hAnsi="標楷體" w:cs="DFKaiShu-SB-Estd-BF" w:hint="eastAsia"/>
          <w:kern w:val="0"/>
          <w:szCs w:val="24"/>
        </w:rPr>
        <w:t>教評會辦理審查。</w:t>
      </w:r>
    </w:p>
    <w:p w:rsidR="007024DB" w:rsidRPr="00A1466C" w:rsidRDefault="007024DB" w:rsidP="00A97D7A">
      <w:pPr>
        <w:autoSpaceDE w:val="0"/>
        <w:autoSpaceDN w:val="0"/>
        <w:adjustRightInd w:val="0"/>
        <w:ind w:leftChars="100" w:left="960" w:hangingChars="300" w:hanging="720"/>
        <w:rPr>
          <w:rFonts w:ascii="標楷體" w:eastAsia="標楷體" w:hAnsi="標楷體" w:cs="DFKaiShu-SB-Estd-BF"/>
          <w:kern w:val="0"/>
          <w:szCs w:val="24"/>
        </w:rPr>
      </w:pPr>
      <w:r w:rsidRPr="00A1466C">
        <w:rPr>
          <w:rFonts w:ascii="標楷體" w:eastAsia="標楷體" w:hAnsi="標楷體" w:cs="DFKaiShu-SB-Estd-BF" w:hint="eastAsia"/>
          <w:kern w:val="0"/>
          <w:szCs w:val="24"/>
        </w:rPr>
        <w:t>（二）初審通過後，系教評會應將本校「教師升等評分表」連同著作審查意見表、會議紀錄、各項表件及其升等著作，送院教評會辦理。</w:t>
      </w:r>
    </w:p>
    <w:p w:rsidR="007024DB" w:rsidRPr="00A1466C" w:rsidRDefault="007024DB" w:rsidP="00A97D7A">
      <w:pPr>
        <w:autoSpaceDE w:val="0"/>
        <w:autoSpaceDN w:val="0"/>
        <w:adjustRightInd w:val="0"/>
        <w:ind w:leftChars="400" w:left="960"/>
        <w:rPr>
          <w:rFonts w:ascii="標楷體" w:eastAsia="標楷體" w:hAnsi="標楷體" w:cs="DFKaiShu-SB-Estd-BF"/>
          <w:kern w:val="0"/>
          <w:szCs w:val="24"/>
        </w:rPr>
      </w:pPr>
      <w:r w:rsidRPr="00A1466C">
        <w:rPr>
          <w:rFonts w:ascii="標楷體" w:eastAsia="標楷體" w:hAnsi="標楷體" w:cs="DFKaiShu-SB-Estd-BF" w:hint="eastAsia"/>
          <w:kern w:val="0"/>
          <w:szCs w:val="24"/>
        </w:rPr>
        <w:t>系教師評審委員會就審查未通過之升等案件，應由系教師評審委員會以本校名義，書面敘</w:t>
      </w:r>
      <w:proofErr w:type="gramStart"/>
      <w:r w:rsidRPr="00A1466C">
        <w:rPr>
          <w:rFonts w:ascii="標楷體" w:eastAsia="標楷體" w:hAnsi="標楷體" w:cs="DFKaiShu-SB-Estd-BF" w:hint="eastAsia"/>
          <w:kern w:val="0"/>
          <w:szCs w:val="24"/>
        </w:rPr>
        <w:t>明理由並載</w:t>
      </w:r>
      <w:proofErr w:type="gramEnd"/>
      <w:r w:rsidRPr="00A1466C">
        <w:rPr>
          <w:rFonts w:ascii="標楷體" w:eastAsia="標楷體" w:hAnsi="標楷體" w:cs="DFKaiShu-SB-Estd-BF" w:hint="eastAsia"/>
          <w:kern w:val="0"/>
          <w:szCs w:val="24"/>
        </w:rPr>
        <w:t>明救濟途徑通知申請升等教師。</w:t>
      </w:r>
    </w:p>
    <w:p w:rsidR="007024DB" w:rsidRPr="00A1466C" w:rsidRDefault="007024DB" w:rsidP="00A97D7A">
      <w:pPr>
        <w:autoSpaceDE w:val="0"/>
        <w:autoSpaceDN w:val="0"/>
        <w:adjustRightInd w:val="0"/>
        <w:ind w:left="480" w:hangingChars="200" w:hanging="480"/>
        <w:rPr>
          <w:rFonts w:ascii="標楷體" w:eastAsia="標楷體" w:hAnsi="標楷體" w:cs="DFKaiShu-SB-Estd-BF"/>
          <w:kern w:val="0"/>
          <w:szCs w:val="24"/>
        </w:rPr>
      </w:pPr>
      <w:r w:rsidRPr="00A1466C">
        <w:rPr>
          <w:rFonts w:ascii="標楷體" w:eastAsia="標楷體" w:hAnsi="標楷體" w:cs="DFKaiShu-SB-Estd-BF" w:hint="eastAsia"/>
          <w:kern w:val="0"/>
          <w:szCs w:val="24"/>
        </w:rPr>
        <w:lastRenderedPageBreak/>
        <w:t>八、新聘之助理教授與講師，未於到任後八年內升等者，得予續聘二年且仍得申請升等；至第十年仍未通過者，經各級教師評審委員會審議通過後，不予續聘。</w:t>
      </w:r>
    </w:p>
    <w:p w:rsidR="007024DB" w:rsidRPr="00A1466C" w:rsidRDefault="007024DB" w:rsidP="00A97D7A">
      <w:pPr>
        <w:autoSpaceDE w:val="0"/>
        <w:autoSpaceDN w:val="0"/>
        <w:adjustRightInd w:val="0"/>
        <w:ind w:firstLineChars="200" w:firstLine="480"/>
        <w:rPr>
          <w:rFonts w:ascii="標楷體" w:eastAsia="標楷體" w:hAnsi="標楷體" w:cs="DFKaiShu-SB-Estd-BF"/>
          <w:kern w:val="0"/>
          <w:szCs w:val="24"/>
        </w:rPr>
      </w:pPr>
      <w:r w:rsidRPr="00A1466C">
        <w:rPr>
          <w:rFonts w:ascii="標楷體" w:eastAsia="標楷體" w:hAnsi="標楷體" w:cs="DFKaiShu-SB-Estd-BF" w:hint="eastAsia"/>
          <w:kern w:val="0"/>
          <w:szCs w:val="24"/>
        </w:rPr>
        <w:t>教師具下列情事者，不列入前項八年期間計算：</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（一）育嬰留職停薪、</w:t>
      </w:r>
      <w:proofErr w:type="gramStart"/>
      <w:r w:rsidRPr="00A1466C">
        <w:rPr>
          <w:rFonts w:ascii="標楷體" w:eastAsia="標楷體" w:hAnsi="標楷體" w:cs="DFKaiShu-SB-Estd-BF" w:hint="eastAsia"/>
          <w:kern w:val="0"/>
          <w:szCs w:val="24"/>
        </w:rPr>
        <w:t>因病留職</w:t>
      </w:r>
      <w:proofErr w:type="gramEnd"/>
      <w:r w:rsidRPr="00A1466C">
        <w:rPr>
          <w:rFonts w:ascii="標楷體" w:eastAsia="標楷體" w:hAnsi="標楷體" w:cs="DFKaiShu-SB-Estd-BF" w:hint="eastAsia"/>
          <w:kern w:val="0"/>
          <w:szCs w:val="24"/>
        </w:rPr>
        <w:t>停薪、或延長病假，合計滿</w:t>
      </w:r>
      <w:r w:rsidRPr="00A1466C">
        <w:rPr>
          <w:rFonts w:ascii="標楷體" w:eastAsia="標楷體" w:hAnsi="標楷體" w:cs="Times New Roman"/>
          <w:kern w:val="0"/>
          <w:szCs w:val="24"/>
        </w:rPr>
        <w:t xml:space="preserve">1 </w:t>
      </w:r>
      <w:r w:rsidRPr="00A1466C">
        <w:rPr>
          <w:rFonts w:ascii="標楷體" w:eastAsia="標楷體" w:hAnsi="標楷體" w:cs="DFKaiShu-SB-Estd-BF" w:hint="eastAsia"/>
          <w:kern w:val="0"/>
          <w:szCs w:val="24"/>
        </w:rPr>
        <w:t>年者。</w:t>
      </w:r>
    </w:p>
    <w:p w:rsidR="007024DB" w:rsidRPr="00A1466C" w:rsidRDefault="007024DB" w:rsidP="007024DB">
      <w:pPr>
        <w:autoSpaceDE w:val="0"/>
        <w:autoSpaceDN w:val="0"/>
        <w:adjustRightInd w:val="0"/>
        <w:rPr>
          <w:rFonts w:ascii="標楷體" w:eastAsia="標楷體" w:hAnsi="標楷體" w:cs="DFKaiShu-SB-Estd-BF"/>
          <w:kern w:val="0"/>
          <w:szCs w:val="24"/>
        </w:rPr>
      </w:pPr>
      <w:r w:rsidRPr="00A1466C">
        <w:rPr>
          <w:rFonts w:ascii="標楷體" w:eastAsia="標楷體" w:hAnsi="標楷體" w:cs="DFKaiShu-SB-Estd-BF" w:hint="eastAsia"/>
          <w:kern w:val="0"/>
          <w:szCs w:val="24"/>
        </w:rPr>
        <w:t>（二）懷孕生產、或懷孕滿</w:t>
      </w:r>
      <w:r w:rsidRPr="00A1466C">
        <w:rPr>
          <w:rFonts w:ascii="標楷體" w:eastAsia="標楷體" w:hAnsi="標楷體" w:cs="Times New Roman"/>
          <w:kern w:val="0"/>
          <w:szCs w:val="24"/>
        </w:rPr>
        <w:t xml:space="preserve">5 </w:t>
      </w:r>
      <w:proofErr w:type="gramStart"/>
      <w:r w:rsidRPr="00A1466C">
        <w:rPr>
          <w:rFonts w:ascii="標楷體" w:eastAsia="標楷體" w:hAnsi="標楷體" w:cs="DFKaiShu-SB-Estd-BF" w:hint="eastAsia"/>
          <w:kern w:val="0"/>
          <w:szCs w:val="24"/>
        </w:rPr>
        <w:t>個</w:t>
      </w:r>
      <w:proofErr w:type="gramEnd"/>
      <w:r w:rsidRPr="00A1466C">
        <w:rPr>
          <w:rFonts w:ascii="標楷體" w:eastAsia="標楷體" w:hAnsi="標楷體" w:cs="DFKaiShu-SB-Estd-BF" w:hint="eastAsia"/>
          <w:kern w:val="0"/>
          <w:szCs w:val="24"/>
        </w:rPr>
        <w:t>月以上流產者。</w:t>
      </w:r>
    </w:p>
    <w:p w:rsidR="007024DB" w:rsidRPr="00A1466C" w:rsidRDefault="007024DB" w:rsidP="007024DB">
      <w:pPr>
        <w:pStyle w:val="a3"/>
        <w:autoSpaceDE w:val="0"/>
        <w:autoSpaceDN w:val="0"/>
        <w:adjustRightInd w:val="0"/>
        <w:ind w:leftChars="0"/>
        <w:rPr>
          <w:rFonts w:ascii="標楷體" w:eastAsia="標楷體" w:hAnsi="標楷體" w:cs="DFKaiShu-SB-Estd-BF"/>
          <w:kern w:val="0"/>
          <w:szCs w:val="24"/>
        </w:rPr>
      </w:pPr>
      <w:r w:rsidRPr="00A1466C">
        <w:rPr>
          <w:rFonts w:ascii="標楷體" w:eastAsia="標楷體" w:hAnsi="標楷體" w:cs="DFKaiShu-SB-Estd-BF" w:hint="eastAsia"/>
          <w:kern w:val="0"/>
          <w:szCs w:val="24"/>
        </w:rPr>
        <w:t>第二項不列入計算之年資，每次以</w:t>
      </w:r>
      <w:r w:rsidRPr="00A1466C">
        <w:rPr>
          <w:rFonts w:ascii="標楷體" w:eastAsia="標楷體" w:hAnsi="標楷體" w:cs="Times New Roman"/>
          <w:kern w:val="0"/>
          <w:szCs w:val="24"/>
        </w:rPr>
        <w:t xml:space="preserve">2 </w:t>
      </w:r>
      <w:r w:rsidRPr="00A1466C">
        <w:rPr>
          <w:rFonts w:ascii="標楷體" w:eastAsia="標楷體" w:hAnsi="標楷體" w:cs="DFKaiShu-SB-Estd-BF" w:hint="eastAsia"/>
          <w:kern w:val="0"/>
          <w:szCs w:val="24"/>
        </w:rPr>
        <w:t>年計，惟合計最多</w:t>
      </w:r>
      <w:r w:rsidRPr="00A1466C">
        <w:rPr>
          <w:rFonts w:ascii="標楷體" w:eastAsia="標楷體" w:hAnsi="標楷體" w:cs="Times New Roman"/>
          <w:kern w:val="0"/>
          <w:szCs w:val="24"/>
        </w:rPr>
        <w:t xml:space="preserve">4 </w:t>
      </w:r>
      <w:r w:rsidRPr="00A1466C">
        <w:rPr>
          <w:rFonts w:ascii="標楷體" w:eastAsia="標楷體" w:hAnsi="標楷體" w:cs="DFKaiShu-SB-Estd-BF" w:hint="eastAsia"/>
          <w:kern w:val="0"/>
          <w:szCs w:val="24"/>
        </w:rPr>
        <w:t>年。</w:t>
      </w:r>
    </w:p>
    <w:p w:rsidR="007024DB" w:rsidRPr="00A1466C" w:rsidRDefault="007024DB" w:rsidP="00A97D7A">
      <w:pPr>
        <w:autoSpaceDE w:val="0"/>
        <w:autoSpaceDN w:val="0"/>
        <w:adjustRightInd w:val="0"/>
        <w:ind w:left="480" w:hangingChars="200" w:hanging="480"/>
        <w:rPr>
          <w:rFonts w:ascii="標楷體" w:eastAsia="標楷體" w:hAnsi="標楷體" w:cs="DFKaiShu-SB-Estd-BF"/>
          <w:kern w:val="0"/>
          <w:szCs w:val="24"/>
        </w:rPr>
      </w:pPr>
      <w:r w:rsidRPr="00A1466C">
        <w:rPr>
          <w:rFonts w:ascii="標楷體" w:eastAsia="標楷體" w:hAnsi="標楷體" w:cs="DFKaiShu-SB-Estd-BF" w:hint="eastAsia"/>
          <w:kern w:val="0"/>
          <w:szCs w:val="24"/>
        </w:rPr>
        <w:t>九、辦理升等審查時，應由委員三分之二以上之出席，出席委員三分之二以上不同意，始為不通過的決議。</w:t>
      </w:r>
    </w:p>
    <w:p w:rsidR="007024DB" w:rsidRPr="00A1466C" w:rsidRDefault="007024DB" w:rsidP="00A97D7A">
      <w:pPr>
        <w:autoSpaceDE w:val="0"/>
        <w:autoSpaceDN w:val="0"/>
        <w:adjustRightInd w:val="0"/>
        <w:ind w:leftChars="200" w:left="480"/>
        <w:rPr>
          <w:rFonts w:ascii="標楷體" w:eastAsia="標楷體" w:hAnsi="標楷體" w:cs="DFKaiShu-SB-Estd-BF"/>
          <w:kern w:val="0"/>
          <w:szCs w:val="24"/>
        </w:rPr>
      </w:pPr>
      <w:r w:rsidRPr="00A1466C">
        <w:rPr>
          <w:rFonts w:ascii="標楷體" w:eastAsia="標楷體" w:hAnsi="標楷體" w:cs="DFKaiShu-SB-Estd-BF" w:hint="eastAsia"/>
          <w:kern w:val="0"/>
          <w:szCs w:val="24"/>
        </w:rPr>
        <w:t>各審查委員對於涉及自身利益、其配偶或三親等內血親或姻親、或具論文指導師生關係之案件，應予迴避。</w:t>
      </w:r>
    </w:p>
    <w:p w:rsidR="007024DB" w:rsidRPr="00A1466C" w:rsidRDefault="007024DB" w:rsidP="00A97D7A">
      <w:pPr>
        <w:autoSpaceDE w:val="0"/>
        <w:autoSpaceDN w:val="0"/>
        <w:adjustRightInd w:val="0"/>
        <w:ind w:leftChars="200" w:left="480"/>
        <w:rPr>
          <w:rFonts w:ascii="標楷體" w:eastAsia="標楷體" w:hAnsi="標楷體" w:cs="DFKaiShu-SB-Estd-BF"/>
          <w:kern w:val="0"/>
          <w:szCs w:val="24"/>
        </w:rPr>
      </w:pPr>
      <w:r w:rsidRPr="00A1466C">
        <w:rPr>
          <w:rFonts w:ascii="標楷體" w:eastAsia="標楷體" w:hAnsi="標楷體" w:cs="DFKaiShu-SB-Estd-BF" w:hint="eastAsia"/>
          <w:kern w:val="0"/>
          <w:szCs w:val="24"/>
        </w:rPr>
        <w:t>有具體事實足認本會委員對於評審案件有偏頗之虞者，申請人可向本會申請該委員迴避，並應舉其原因事實。未自行迴避者，主席得經本會決議請該委員迴避。</w:t>
      </w:r>
    </w:p>
    <w:p w:rsidR="007024DB" w:rsidRPr="00A1466C" w:rsidRDefault="007024DB" w:rsidP="007024DB">
      <w:pPr>
        <w:pStyle w:val="a3"/>
        <w:autoSpaceDE w:val="0"/>
        <w:autoSpaceDN w:val="0"/>
        <w:adjustRightInd w:val="0"/>
        <w:ind w:leftChars="0"/>
        <w:rPr>
          <w:rFonts w:ascii="標楷體" w:eastAsia="標楷體" w:hAnsi="標楷體" w:cs="DFKaiShu-SB-Estd-BF"/>
          <w:kern w:val="0"/>
          <w:szCs w:val="24"/>
        </w:rPr>
      </w:pPr>
      <w:r w:rsidRPr="00A1466C">
        <w:rPr>
          <w:rFonts w:ascii="標楷體" w:eastAsia="標楷體" w:hAnsi="標楷體" w:cs="DFKaiShu-SB-Estd-BF" w:hint="eastAsia"/>
          <w:kern w:val="0"/>
          <w:szCs w:val="24"/>
        </w:rPr>
        <w:t>委員中有應行迴避之情事者，投票時不予計算。</w:t>
      </w:r>
    </w:p>
    <w:p w:rsidR="007024DB" w:rsidRPr="00A1466C" w:rsidRDefault="007024DB" w:rsidP="00A97D7A">
      <w:pPr>
        <w:autoSpaceDE w:val="0"/>
        <w:autoSpaceDN w:val="0"/>
        <w:adjustRightInd w:val="0"/>
        <w:ind w:left="480" w:hangingChars="200" w:hanging="480"/>
        <w:rPr>
          <w:rFonts w:ascii="標楷體" w:eastAsia="標楷體" w:hAnsi="標楷體" w:cs="DFKaiShu-SB-Estd-BF"/>
          <w:kern w:val="0"/>
          <w:szCs w:val="24"/>
        </w:rPr>
      </w:pPr>
      <w:r w:rsidRPr="00A1466C">
        <w:rPr>
          <w:rFonts w:ascii="標楷體" w:eastAsia="標楷體" w:hAnsi="標楷體" w:cs="DFKaiShu-SB-Estd-BF" w:hint="eastAsia"/>
          <w:kern w:val="0"/>
          <w:szCs w:val="24"/>
        </w:rPr>
        <w:t>十、教師對於升等初審結果如有異議，得於收到通知次日起</w:t>
      </w:r>
      <w:proofErr w:type="gramStart"/>
      <w:r w:rsidRPr="00A1466C">
        <w:rPr>
          <w:rFonts w:ascii="標楷體" w:eastAsia="標楷體" w:hAnsi="標楷體" w:cs="DFKaiShu-SB-Estd-BF" w:hint="eastAsia"/>
          <w:kern w:val="0"/>
          <w:szCs w:val="24"/>
        </w:rPr>
        <w:t>三</w:t>
      </w:r>
      <w:proofErr w:type="gramEnd"/>
      <w:r w:rsidRPr="00A1466C">
        <w:rPr>
          <w:rFonts w:ascii="標楷體" w:eastAsia="標楷體" w:hAnsi="標楷體" w:cs="DFKaiShu-SB-Estd-BF" w:hint="eastAsia"/>
          <w:kern w:val="0"/>
          <w:szCs w:val="24"/>
        </w:rPr>
        <w:t>十日內向本會提起申覆。申覆以一次為限。</w:t>
      </w:r>
    </w:p>
    <w:p w:rsidR="007024DB" w:rsidRPr="00A1466C" w:rsidRDefault="007024DB" w:rsidP="007024DB">
      <w:pPr>
        <w:pStyle w:val="a3"/>
        <w:autoSpaceDE w:val="0"/>
        <w:autoSpaceDN w:val="0"/>
        <w:adjustRightInd w:val="0"/>
        <w:ind w:leftChars="0"/>
        <w:rPr>
          <w:rFonts w:ascii="標楷體" w:eastAsia="標楷體" w:hAnsi="標楷體" w:cs="DFKaiShu-SB-Estd-BF"/>
          <w:kern w:val="0"/>
          <w:szCs w:val="24"/>
        </w:rPr>
      </w:pPr>
      <w:r w:rsidRPr="00A1466C">
        <w:rPr>
          <w:rFonts w:ascii="標楷體" w:eastAsia="標楷體" w:hAnsi="標楷體" w:cs="DFKaiShu-SB-Estd-BF" w:hint="eastAsia"/>
          <w:kern w:val="0"/>
          <w:szCs w:val="24"/>
        </w:rPr>
        <w:t>教師對於申覆結果如有異議，得依本校規定提起申訴、再申訴。</w:t>
      </w:r>
    </w:p>
    <w:p w:rsidR="007024DB" w:rsidRPr="00A1466C" w:rsidRDefault="007024DB" w:rsidP="00A97D7A">
      <w:pPr>
        <w:autoSpaceDE w:val="0"/>
        <w:autoSpaceDN w:val="0"/>
        <w:adjustRightInd w:val="0"/>
        <w:ind w:left="720" w:hangingChars="300" w:hanging="720"/>
        <w:rPr>
          <w:rFonts w:ascii="標楷體" w:eastAsia="標楷體" w:hAnsi="標楷體"/>
        </w:rPr>
      </w:pPr>
      <w:r w:rsidRPr="00A1466C">
        <w:rPr>
          <w:rFonts w:ascii="標楷體" w:eastAsia="標楷體" w:hAnsi="標楷體" w:cs="DFKaiShu-SB-Estd-BF" w:hint="eastAsia"/>
          <w:kern w:val="0"/>
          <w:szCs w:val="24"/>
        </w:rPr>
        <w:t>十一、本要點經系務會議通過，送經院及校級教師評審委員會審議通過，陳請校長核定後施</w:t>
      </w:r>
      <w:bookmarkStart w:id="0" w:name="_GoBack"/>
      <w:bookmarkEnd w:id="0"/>
      <w:r w:rsidRPr="00A1466C">
        <w:rPr>
          <w:rFonts w:ascii="標楷體" w:eastAsia="標楷體" w:hAnsi="標楷體" w:cs="DFKaiShu-SB-Estd-BF" w:hint="eastAsia"/>
          <w:kern w:val="0"/>
          <w:szCs w:val="24"/>
        </w:rPr>
        <w:t>行，修正時亦同。</w:t>
      </w:r>
    </w:p>
    <w:sectPr w:rsidR="007024DB" w:rsidRPr="00A146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811"/>
    <w:multiLevelType w:val="hybridMultilevel"/>
    <w:tmpl w:val="931C0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DB"/>
    <w:rsid w:val="007024DB"/>
    <w:rsid w:val="00A1466C"/>
    <w:rsid w:val="00A97D7A"/>
    <w:rsid w:val="00C47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4D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4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dcterms:created xsi:type="dcterms:W3CDTF">2018-06-20T03:16:00Z</dcterms:created>
  <dcterms:modified xsi:type="dcterms:W3CDTF">2018-06-20T03:38:00Z</dcterms:modified>
</cp:coreProperties>
</file>